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169257" w14:textId="77777777" w:rsidR="002B0C6E"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t>Mental health and stress risk assessment template</w:t>
      </w:r>
    </w:p>
    <w:p w14:paraId="5BF8FD8D" w14:textId="77777777" w:rsidR="002B0C6E" w:rsidRDefault="002B0C6E">
      <w:pPr>
        <w:rPr>
          <w:rFonts w:ascii="Rubik" w:eastAsia="Rubik" w:hAnsi="Rubik" w:cs="Rubik"/>
          <w:b/>
          <w:bCs/>
          <w:color w:val="232323"/>
          <w:sz w:val="32"/>
          <w:szCs w:val="32"/>
        </w:rPr>
      </w:pPr>
    </w:p>
    <w:p w14:paraId="7A24046D" w14:textId="77777777" w:rsidR="002B0C6E" w:rsidRDefault="00000000">
      <w:pPr>
        <w:spacing w:line="275" w:lineRule="auto"/>
        <w:rPr>
          <w:b/>
          <w:bCs/>
          <w:color w:val="004CA8"/>
        </w:rPr>
      </w:pPr>
      <w:r>
        <w:rPr>
          <w:rFonts w:ascii="Rubik" w:eastAsia="Rubik" w:hAnsi="Rubik" w:cs="Rubik"/>
          <w:i/>
          <w:iCs/>
          <w:color w:val="004CA8"/>
        </w:rPr>
        <w:t xml:space="preserve">This resource was created in partnership with HR and health and safety experts at </w:t>
      </w:r>
      <w:hyperlink r:id="rId7">
        <w:r>
          <w:rPr>
            <w:rFonts w:ascii="Rubik" w:eastAsia="Rubik" w:hAnsi="Rubik" w:cs="Rubik"/>
            <w:b/>
            <w:bCs/>
            <w:i/>
            <w:iCs/>
            <w:color w:val="004CA8"/>
            <w:u w:val="single"/>
          </w:rPr>
          <w:t>Omny Group</w:t>
        </w:r>
      </w:hyperlink>
      <w:r>
        <w:rPr>
          <w:rFonts w:ascii="Rubik" w:eastAsia="Rubik" w:hAnsi="Rubik" w:cs="Rubik"/>
          <w:b/>
          <w:bCs/>
          <w:i/>
          <w:iCs/>
          <w:color w:val="004CA8"/>
        </w:rPr>
        <w:t>.</w:t>
      </w:r>
      <w:r>
        <w:rPr>
          <w:rFonts w:ascii="Rubik" w:eastAsia="Rubik" w:hAnsi="Rubik" w:cs="Rubik"/>
          <w:i/>
          <w:iCs/>
          <w:color w:val="004CA8"/>
        </w:rPr>
        <w:t xml:space="preserve"> It is intended as a basic general template only and designed for low-risk small to medium sized businesses. For tailored legal advice and support, you can </w:t>
      </w:r>
      <w:hyperlink r:id="rId8">
        <w:r>
          <w:rPr>
            <w:rFonts w:ascii="Rubik" w:eastAsia="Rubik" w:hAnsi="Rubik" w:cs="Rubik"/>
            <w:b/>
            <w:bCs/>
            <w:i/>
            <w:iCs/>
            <w:color w:val="004CA8"/>
            <w:u w:val="single"/>
          </w:rPr>
          <w:t>contact Omny Group here.</w:t>
        </w:r>
      </w:hyperlink>
      <w:r>
        <w:rPr>
          <w:rFonts w:ascii="Rubik" w:eastAsia="Rubik" w:hAnsi="Rubik" w:cs="Rubik"/>
        </w:rPr>
        <w:t xml:space="preserve"> </w:t>
      </w:r>
    </w:p>
    <w:p w14:paraId="52CAD39D" w14:textId="77777777" w:rsidR="002B0C6E" w:rsidRDefault="002B0C6E">
      <w:pPr>
        <w:spacing w:after="200"/>
        <w:rPr>
          <w:rFonts w:ascii="Rubik" w:eastAsia="Rubik" w:hAnsi="Rubik" w:cs="Rubik"/>
          <w:b/>
          <w:bCs/>
          <w:color w:val="232323"/>
          <w:sz w:val="32"/>
          <w:szCs w:val="32"/>
        </w:rPr>
      </w:pPr>
    </w:p>
    <w:p w14:paraId="4A251E5A" w14:textId="77777777" w:rsidR="002B0C6E" w:rsidRDefault="00000000">
      <w:pPr>
        <w:spacing w:after="200"/>
        <w:rPr>
          <w:rFonts w:ascii="Rubik" w:eastAsia="Rubik" w:hAnsi="Rubik" w:cs="Rubik"/>
          <w:color w:val="232323"/>
          <w:sz w:val="24"/>
          <w:szCs w:val="24"/>
        </w:rPr>
      </w:pPr>
      <w:r>
        <w:rPr>
          <w:rFonts w:ascii="Rubik" w:eastAsia="Rubik" w:hAnsi="Rubik" w:cs="Rubik"/>
          <w:color w:val="232323"/>
          <w:sz w:val="24"/>
          <w:szCs w:val="24"/>
        </w:rPr>
        <w:t>Work-related stress and poor mental health can have a real impact on your people and your business, affecting everything from morale and working relationships to absence, performance and retention. It’s also one of the clearest examples of where HR and health and safety responsibilities overlap, because supporting employees well means not only responding when someone is struggling, but also identifying the workplace pressures that may be contributing to it in the first place.</w:t>
      </w:r>
    </w:p>
    <w:p w14:paraId="0D0A4741" w14:textId="77777777" w:rsidR="002B0C6E" w:rsidRDefault="00000000">
      <w:pPr>
        <w:spacing w:after="200"/>
        <w:rPr>
          <w:rFonts w:ascii="Rubik" w:eastAsia="Rubik" w:hAnsi="Rubik" w:cs="Rubik"/>
          <w:color w:val="232323"/>
          <w:sz w:val="24"/>
          <w:szCs w:val="24"/>
        </w:rPr>
      </w:pPr>
      <w:r>
        <w:rPr>
          <w:rFonts w:ascii="Rubik" w:eastAsia="Rubik" w:hAnsi="Rubik" w:cs="Rubik"/>
          <w:color w:val="232323"/>
          <w:sz w:val="24"/>
          <w:szCs w:val="24"/>
        </w:rPr>
        <w:t xml:space="preserve">For employers, that is not just good practice, it is a legal responsibility. Under the </w:t>
      </w:r>
      <w:hyperlink r:id="rId9">
        <w:r>
          <w:rPr>
            <w:rFonts w:ascii="Rubik" w:eastAsia="Rubik" w:hAnsi="Rubik" w:cs="Rubik"/>
            <w:color w:val="1155CC"/>
            <w:sz w:val="24"/>
            <w:szCs w:val="24"/>
            <w:u w:val="single"/>
          </w:rPr>
          <w:t>Health and Safety at Work etc. Act 1974</w:t>
        </w:r>
      </w:hyperlink>
      <w:r>
        <w:rPr>
          <w:rFonts w:ascii="Rubik" w:eastAsia="Rubik" w:hAnsi="Rubik" w:cs="Rubik"/>
          <w:color w:val="232323"/>
          <w:sz w:val="24"/>
          <w:szCs w:val="24"/>
        </w:rPr>
        <w:t xml:space="preserve"> and the </w:t>
      </w:r>
      <w:hyperlink r:id="rId10">
        <w:r>
          <w:rPr>
            <w:rFonts w:ascii="Rubik" w:eastAsia="Rubik" w:hAnsi="Rubik" w:cs="Rubik"/>
            <w:color w:val="1155CC"/>
            <w:sz w:val="24"/>
            <w:szCs w:val="24"/>
            <w:u w:val="single"/>
          </w:rPr>
          <w:t>Management of Health and Safety at Work Regulations 1999</w:t>
        </w:r>
      </w:hyperlink>
      <w:r>
        <w:rPr>
          <w:rFonts w:ascii="Rubik" w:eastAsia="Rubik" w:hAnsi="Rubik" w:cs="Rubik"/>
          <w:color w:val="232323"/>
          <w:sz w:val="24"/>
          <w:szCs w:val="24"/>
        </w:rPr>
        <w:t xml:space="preserve">, employers must assess risks to employees’ health and safety, including risks linked to work-related stress for five or more workers. </w:t>
      </w:r>
    </w:p>
    <w:p w14:paraId="5E5C32F2" w14:textId="77777777" w:rsidR="002B0C6E" w:rsidRDefault="00000000">
      <w:pPr>
        <w:spacing w:after="200"/>
        <w:rPr>
          <w:rFonts w:ascii="Rubik" w:eastAsia="Rubik" w:hAnsi="Rubik" w:cs="Rubik"/>
          <w:color w:val="232323"/>
          <w:sz w:val="24"/>
          <w:szCs w:val="24"/>
        </w:rPr>
      </w:pPr>
      <w:r>
        <w:rPr>
          <w:rFonts w:ascii="Rubik" w:eastAsia="Rubik" w:hAnsi="Rubik" w:cs="Rubik"/>
          <w:color w:val="232323"/>
          <w:sz w:val="24"/>
          <w:szCs w:val="24"/>
        </w:rPr>
        <w:t xml:space="preserve">The </w:t>
      </w:r>
      <w:hyperlink r:id="rId11">
        <w:r>
          <w:rPr>
            <w:rFonts w:ascii="Rubik" w:eastAsia="Rubik" w:hAnsi="Rubik" w:cs="Rubik"/>
            <w:color w:val="1155CC"/>
            <w:sz w:val="24"/>
            <w:szCs w:val="24"/>
            <w:u w:val="single"/>
          </w:rPr>
          <w:t>Health and Safety Executive</w:t>
        </w:r>
      </w:hyperlink>
      <w:r>
        <w:rPr>
          <w:rFonts w:ascii="Rubik" w:eastAsia="Rubik" w:hAnsi="Rubik" w:cs="Rubik"/>
          <w:color w:val="232323"/>
          <w:sz w:val="24"/>
          <w:szCs w:val="24"/>
        </w:rPr>
        <w:t xml:space="preserve"> (HSE) is responsible for monitoring and enforcing those duties, and where stress risks are not being managed properly it can investigate and take action, including notices, fines and other penalties. </w:t>
      </w:r>
    </w:p>
    <w:p w14:paraId="121B5FCF" w14:textId="77777777" w:rsidR="002B0C6E" w:rsidRDefault="00000000">
      <w:pPr>
        <w:spacing w:after="200"/>
        <w:rPr>
          <w:rFonts w:ascii="Rubik" w:eastAsia="Rubik" w:hAnsi="Rubik" w:cs="Rubik"/>
          <w:color w:val="232323"/>
          <w:sz w:val="24"/>
          <w:szCs w:val="24"/>
        </w:rPr>
      </w:pPr>
      <w:r>
        <w:rPr>
          <w:rFonts w:ascii="Rubik" w:eastAsia="Rubik" w:hAnsi="Rubik" w:cs="Rubik"/>
          <w:color w:val="232323"/>
          <w:sz w:val="24"/>
          <w:szCs w:val="24"/>
        </w:rPr>
        <w:t xml:space="preserve">This template is designed to help you identify possible sources of stress at work, consider who may be affected and record the controls and follow-up actions that are needed. It can be a useful way to spot patterns, open up conversations and make sure mental health and wellbeing are being considered as part of your wider approach to managing people and risk. </w:t>
      </w:r>
    </w:p>
    <w:p w14:paraId="3F373F46" w14:textId="77777777" w:rsidR="002B0C6E" w:rsidRDefault="00000000">
      <w:pPr>
        <w:spacing w:after="200"/>
        <w:rPr>
          <w:rFonts w:ascii="Rubik" w:eastAsia="Rubik" w:hAnsi="Rubik" w:cs="Rubik"/>
          <w:b/>
          <w:bCs/>
          <w:color w:val="232323"/>
          <w:sz w:val="24"/>
          <w:szCs w:val="24"/>
        </w:rPr>
      </w:pPr>
      <w:r>
        <w:rPr>
          <w:rFonts w:ascii="Rubik" w:eastAsia="Rubik" w:hAnsi="Rubik" w:cs="Rubik"/>
          <w:b/>
          <w:bCs/>
          <w:color w:val="232323"/>
          <w:sz w:val="24"/>
          <w:szCs w:val="24"/>
        </w:rPr>
        <w:t xml:space="preserve">Your risk assessment should be reviewed at least annually, or after any related incident or significant change. </w:t>
      </w:r>
    </w:p>
    <w:p w14:paraId="45832750" w14:textId="77777777" w:rsidR="002B0C6E" w:rsidRDefault="00000000">
      <w:pPr>
        <w:spacing w:after="200"/>
        <w:rPr>
          <w:rFonts w:ascii="Rubik" w:eastAsia="Rubik" w:hAnsi="Rubik" w:cs="Rubik"/>
          <w:color w:val="004CA8"/>
          <w:sz w:val="28"/>
          <w:szCs w:val="28"/>
        </w:rPr>
      </w:pPr>
      <w:r>
        <w:rPr>
          <w:rFonts w:ascii="Rubik" w:eastAsia="Rubik" w:hAnsi="Rubik" w:cs="Rubik"/>
          <w:color w:val="004CA8"/>
          <w:sz w:val="24"/>
          <w:szCs w:val="24"/>
        </w:rPr>
        <w:t>Please note that, along with this introduction, any text in italics included throughout should be removed or replaced to reflect your organisation’s own circumstances.</w:t>
      </w:r>
    </w:p>
    <w:p w14:paraId="5387FB75" w14:textId="77777777" w:rsidR="002B0C6E" w:rsidRDefault="002B0C6E">
      <w:pPr>
        <w:spacing w:after="200"/>
        <w:rPr>
          <w:rFonts w:ascii="Rubik" w:eastAsia="Rubik" w:hAnsi="Rubik" w:cs="Rubik"/>
          <w:b/>
          <w:bCs/>
          <w:color w:val="1370ED"/>
          <w:sz w:val="28"/>
          <w:szCs w:val="28"/>
        </w:rPr>
      </w:pPr>
    </w:p>
    <w:p w14:paraId="22C697B7" w14:textId="77777777" w:rsidR="002B0C6E" w:rsidRDefault="002B0C6E">
      <w:pPr>
        <w:spacing w:after="200"/>
        <w:rPr>
          <w:rFonts w:ascii="Rubik" w:eastAsia="Rubik" w:hAnsi="Rubik" w:cs="Rubik"/>
          <w:b/>
          <w:bCs/>
          <w:color w:val="1370ED"/>
          <w:sz w:val="28"/>
          <w:szCs w:val="28"/>
        </w:rPr>
      </w:pPr>
    </w:p>
    <w:p w14:paraId="37B703A6" w14:textId="77777777" w:rsidR="002B0C6E"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t>Mental health and workplace stress risk assessment details</w:t>
      </w:r>
      <w:r>
        <w:rPr>
          <w:rFonts w:ascii="Rubik" w:eastAsia="Rubik" w:hAnsi="Rubik" w:cs="Rubik"/>
          <w:b/>
          <w:bCs/>
          <w:color w:val="1370ED"/>
          <w:sz w:val="32"/>
          <w:szCs w:val="32"/>
        </w:rPr>
        <w:br/>
      </w:r>
    </w:p>
    <w:tbl>
      <w:tblPr>
        <w:tblStyle w:val="a3"/>
        <w:tblW w:w="14034" w:type="dxa"/>
        <w:tblInd w:w="-10" w:type="dxa"/>
        <w:tblLayout w:type="fixed"/>
        <w:tblLook w:val="0400" w:firstRow="0" w:lastRow="0" w:firstColumn="0" w:lastColumn="0" w:noHBand="0" w:noVBand="1"/>
      </w:tblPr>
      <w:tblGrid>
        <w:gridCol w:w="6804"/>
        <w:gridCol w:w="7230"/>
      </w:tblGrid>
      <w:tr w:rsidR="002B0C6E" w14:paraId="3352E1E9"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3CBAE" w14:textId="77777777" w:rsidR="002B0C6E" w:rsidRDefault="00000000">
            <w:pPr>
              <w:spacing w:after="200"/>
              <w:rPr>
                <w:rFonts w:ascii="Rubik" w:eastAsia="Rubik" w:hAnsi="Rubik" w:cs="Rubik"/>
                <w:sz w:val="24"/>
                <w:szCs w:val="24"/>
              </w:rPr>
            </w:pPr>
            <w:r>
              <w:rPr>
                <w:rFonts w:ascii="Rubik" w:eastAsia="Rubik" w:hAnsi="Rubik" w:cs="Rubik"/>
                <w:b/>
                <w:bCs/>
                <w:sz w:val="24"/>
                <w:szCs w:val="24"/>
              </w:rPr>
              <w:t>Business name:</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9738E" w14:textId="77777777" w:rsidR="002B0C6E" w:rsidRDefault="00000000">
            <w:pPr>
              <w:spacing w:after="200"/>
              <w:rPr>
                <w:rFonts w:ascii="Rubik" w:eastAsia="Rubik" w:hAnsi="Rubik" w:cs="Rubik"/>
                <w:i/>
                <w:iCs/>
              </w:rPr>
            </w:pPr>
            <w:r>
              <w:rPr>
                <w:rFonts w:ascii="Rubik" w:eastAsia="Rubik" w:hAnsi="Rubik" w:cs="Rubik"/>
                <w:i/>
                <w:iCs/>
              </w:rPr>
              <w:t xml:space="preserve">[Business name] </w:t>
            </w:r>
          </w:p>
        </w:tc>
      </w:tr>
      <w:tr w:rsidR="002B0C6E" w14:paraId="69B9A885"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17187" w14:textId="77777777" w:rsidR="002B0C6E" w:rsidRDefault="00000000">
            <w:pPr>
              <w:spacing w:after="200"/>
              <w:rPr>
                <w:rFonts w:ascii="Rubik" w:eastAsia="Rubik" w:hAnsi="Rubik" w:cs="Rubik"/>
                <w:sz w:val="24"/>
                <w:szCs w:val="24"/>
              </w:rPr>
            </w:pPr>
            <w:r>
              <w:rPr>
                <w:rFonts w:ascii="Rubik" w:eastAsia="Rubik" w:hAnsi="Rubik" w:cs="Rubik"/>
                <w:b/>
                <w:bCs/>
                <w:sz w:val="24"/>
                <w:szCs w:val="24"/>
              </w:rPr>
              <w:t>Location/site</w:t>
            </w:r>
            <w:r>
              <w:rPr>
                <w:rFonts w:ascii="Rubik" w:eastAsia="Rubik" w:hAnsi="Rubik" w:cs="Rubik"/>
                <w:sz w:val="24"/>
                <w:szCs w:val="24"/>
              </w:rPr>
              <w:t>: </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CFF43" w14:textId="77777777" w:rsidR="002B0C6E" w:rsidRDefault="00000000">
            <w:pPr>
              <w:spacing w:after="200"/>
              <w:rPr>
                <w:rFonts w:ascii="Rubik" w:eastAsia="Rubik" w:hAnsi="Rubik" w:cs="Rubik"/>
                <w:i/>
                <w:iCs/>
              </w:rPr>
            </w:pPr>
            <w:r>
              <w:rPr>
                <w:rFonts w:ascii="Rubik" w:eastAsia="Rubik" w:hAnsi="Rubik" w:cs="Rubik"/>
                <w:i/>
                <w:iCs/>
              </w:rPr>
              <w:t>[Location or site being assessed]</w:t>
            </w:r>
          </w:p>
        </w:tc>
      </w:tr>
      <w:tr w:rsidR="002B0C6E" w14:paraId="26FA39BB"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2E7D6" w14:textId="77777777" w:rsidR="002B0C6E" w:rsidRDefault="00000000">
            <w:pPr>
              <w:spacing w:after="200"/>
              <w:rPr>
                <w:rFonts w:ascii="Rubik" w:eastAsia="Rubik" w:hAnsi="Rubik" w:cs="Rubik"/>
                <w:sz w:val="24"/>
                <w:szCs w:val="24"/>
              </w:rPr>
            </w:pPr>
            <w:r>
              <w:rPr>
                <w:rFonts w:ascii="Rubik" w:eastAsia="Rubik" w:hAnsi="Rubik" w:cs="Rubik"/>
                <w:b/>
                <w:bCs/>
                <w:sz w:val="24"/>
                <w:szCs w:val="24"/>
              </w:rPr>
              <w:t>Assessment date: </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4B756" w14:textId="77777777" w:rsidR="002B0C6E" w:rsidRDefault="00000000">
            <w:pPr>
              <w:spacing w:after="200"/>
              <w:rPr>
                <w:rFonts w:ascii="Rubik" w:eastAsia="Rubik" w:hAnsi="Rubik" w:cs="Rubik"/>
                <w:i/>
                <w:iCs/>
              </w:rPr>
            </w:pPr>
            <w:r>
              <w:rPr>
                <w:rFonts w:ascii="Rubik" w:eastAsia="Rubik" w:hAnsi="Rubik" w:cs="Rubik"/>
                <w:i/>
                <w:iCs/>
              </w:rPr>
              <w:t xml:space="preserve">[Date] </w:t>
            </w:r>
          </w:p>
        </w:tc>
      </w:tr>
      <w:tr w:rsidR="002B0C6E" w14:paraId="12BEA079"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858C74" w14:textId="77777777" w:rsidR="002B0C6E" w:rsidRDefault="00000000">
            <w:pPr>
              <w:spacing w:after="200"/>
              <w:rPr>
                <w:rFonts w:ascii="Rubik" w:eastAsia="Rubik" w:hAnsi="Rubik" w:cs="Rubik"/>
                <w:sz w:val="24"/>
                <w:szCs w:val="24"/>
              </w:rPr>
            </w:pPr>
            <w:r>
              <w:rPr>
                <w:rFonts w:ascii="Rubik" w:eastAsia="Rubik" w:hAnsi="Rubik" w:cs="Rubik"/>
                <w:b/>
                <w:bCs/>
                <w:sz w:val="24"/>
                <w:szCs w:val="24"/>
              </w:rPr>
              <w:t>Assessed by:</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A2FF4" w14:textId="77777777" w:rsidR="002B0C6E" w:rsidRDefault="00000000">
            <w:pPr>
              <w:spacing w:after="200"/>
              <w:rPr>
                <w:rFonts w:ascii="Rubik" w:eastAsia="Rubik" w:hAnsi="Rubik" w:cs="Rubik"/>
                <w:i/>
                <w:iCs/>
              </w:rPr>
            </w:pPr>
            <w:r>
              <w:rPr>
                <w:rFonts w:ascii="Rubik" w:eastAsia="Rubik" w:hAnsi="Rubik" w:cs="Rubik"/>
                <w:i/>
                <w:iCs/>
              </w:rPr>
              <w:t xml:space="preserve">[Name, Role] </w:t>
            </w:r>
          </w:p>
        </w:tc>
      </w:tr>
      <w:tr w:rsidR="002B0C6E" w14:paraId="3A8515B2"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F0CF6" w14:textId="77777777" w:rsidR="002B0C6E" w:rsidRDefault="00000000">
            <w:pPr>
              <w:spacing w:after="200"/>
              <w:rPr>
                <w:rFonts w:ascii="Rubik" w:eastAsia="Rubik" w:hAnsi="Rubik" w:cs="Rubik"/>
                <w:sz w:val="24"/>
                <w:szCs w:val="24"/>
              </w:rPr>
            </w:pPr>
            <w:r>
              <w:rPr>
                <w:rFonts w:ascii="Rubik" w:eastAsia="Rubik" w:hAnsi="Rubik" w:cs="Rubik"/>
                <w:b/>
                <w:bCs/>
                <w:sz w:val="24"/>
                <w:szCs w:val="24"/>
              </w:rPr>
              <w:t xml:space="preserve">Activity/task assessed: </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10C63" w14:textId="77777777" w:rsidR="002B0C6E" w:rsidRDefault="00000000">
            <w:pPr>
              <w:spacing w:after="200"/>
              <w:rPr>
                <w:rFonts w:ascii="Rubik" w:eastAsia="Rubik" w:hAnsi="Rubik" w:cs="Rubik"/>
              </w:rPr>
            </w:pPr>
            <w:r>
              <w:rPr>
                <w:rFonts w:ascii="Rubik" w:eastAsia="Rubik" w:hAnsi="Rubik" w:cs="Rubik"/>
              </w:rPr>
              <w:t>Management of work related stress and employee mental health and wellbeing</w:t>
            </w:r>
          </w:p>
        </w:tc>
      </w:tr>
      <w:tr w:rsidR="002B0C6E" w14:paraId="0222C165"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E1E70" w14:textId="77777777" w:rsidR="002B0C6E" w:rsidRDefault="00000000">
            <w:pPr>
              <w:spacing w:after="200"/>
              <w:rPr>
                <w:rFonts w:ascii="Rubik" w:eastAsia="Rubik" w:hAnsi="Rubik" w:cs="Rubik"/>
                <w:sz w:val="24"/>
                <w:szCs w:val="24"/>
              </w:rPr>
            </w:pPr>
            <w:r>
              <w:rPr>
                <w:rFonts w:ascii="Rubik" w:eastAsia="Rubik" w:hAnsi="Rubik" w:cs="Rubik"/>
                <w:b/>
                <w:bCs/>
                <w:sz w:val="24"/>
                <w:szCs w:val="24"/>
              </w:rPr>
              <w:t>Issue/version number</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2812F" w14:textId="77777777" w:rsidR="002B0C6E" w:rsidRDefault="00000000">
            <w:pPr>
              <w:spacing w:after="200"/>
              <w:rPr>
                <w:rFonts w:ascii="Rubik" w:eastAsia="Rubik" w:hAnsi="Rubik" w:cs="Rubik"/>
                <w:i/>
                <w:iCs/>
              </w:rPr>
            </w:pPr>
            <w:r>
              <w:rPr>
                <w:rFonts w:ascii="Rubik" w:eastAsia="Rubik" w:hAnsi="Rubik" w:cs="Rubik"/>
                <w:i/>
                <w:iCs/>
              </w:rPr>
              <w:t xml:space="preserve">[Version 1] </w:t>
            </w:r>
          </w:p>
        </w:tc>
      </w:tr>
      <w:tr w:rsidR="002B0C6E" w14:paraId="3D21BABF"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1E097" w14:textId="77777777" w:rsidR="002B0C6E" w:rsidRDefault="00000000">
            <w:pPr>
              <w:spacing w:after="200"/>
              <w:rPr>
                <w:rFonts w:ascii="Rubik" w:eastAsia="Rubik" w:hAnsi="Rubik" w:cs="Rubik"/>
                <w:b/>
                <w:bCs/>
                <w:sz w:val="24"/>
                <w:szCs w:val="24"/>
              </w:rPr>
            </w:pPr>
            <w:r>
              <w:rPr>
                <w:rFonts w:ascii="Rubik" w:eastAsia="Rubik" w:hAnsi="Rubik" w:cs="Rubik"/>
                <w:b/>
                <w:bCs/>
                <w:sz w:val="24"/>
                <w:szCs w:val="24"/>
              </w:rPr>
              <w:t>Review date</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1AA5E" w14:textId="77777777" w:rsidR="002B0C6E" w:rsidRDefault="00000000">
            <w:pPr>
              <w:spacing w:after="200"/>
              <w:rPr>
                <w:rFonts w:ascii="Rubik" w:eastAsia="Rubik" w:hAnsi="Rubik" w:cs="Rubik"/>
                <w:i/>
                <w:iCs/>
                <w:sz w:val="24"/>
                <w:szCs w:val="24"/>
              </w:rPr>
            </w:pPr>
            <w:r>
              <w:rPr>
                <w:rFonts w:ascii="Rubik" w:eastAsia="Rubik" w:hAnsi="Rubik" w:cs="Rubik"/>
                <w:i/>
                <w:iCs/>
              </w:rPr>
              <w:t>[Date]</w:t>
            </w:r>
            <w:r>
              <w:rPr>
                <w:rFonts w:ascii="Rubik" w:eastAsia="Rubik" w:hAnsi="Rubik" w:cs="Rubik"/>
                <w:i/>
                <w:iCs/>
                <w:sz w:val="24"/>
                <w:szCs w:val="24"/>
              </w:rPr>
              <w:t xml:space="preserve"> </w:t>
            </w:r>
          </w:p>
        </w:tc>
      </w:tr>
      <w:tr w:rsidR="002B0C6E" w14:paraId="72871387" w14:textId="77777777">
        <w:trPr>
          <w:trHeight w:val="731"/>
        </w:trPr>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5FD70" w14:textId="77777777" w:rsidR="002B0C6E" w:rsidRDefault="00000000">
            <w:pPr>
              <w:spacing w:after="200"/>
              <w:rPr>
                <w:rFonts w:ascii="Rubik" w:eastAsia="Rubik" w:hAnsi="Rubik" w:cs="Rubik"/>
                <w:b/>
                <w:bCs/>
                <w:sz w:val="24"/>
                <w:szCs w:val="24"/>
              </w:rPr>
            </w:pPr>
            <w:r>
              <w:rPr>
                <w:rFonts w:ascii="Rubik" w:eastAsia="Rubik" w:hAnsi="Rubik" w:cs="Rubik"/>
                <w:b/>
                <w:bCs/>
                <w:sz w:val="24"/>
                <w:szCs w:val="24"/>
              </w:rPr>
              <w:t>Persons who may be affected:</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8998A" w14:textId="77777777" w:rsidR="002B0C6E" w:rsidRDefault="00000000">
            <w:pPr>
              <w:spacing w:after="200"/>
              <w:rPr>
                <w:rFonts w:ascii="Rubik" w:eastAsia="Rubik" w:hAnsi="Rubik" w:cs="Rubik"/>
                <w:color w:val="004CA8"/>
              </w:rPr>
            </w:pPr>
            <w:r>
              <w:rPr>
                <w:rFonts w:ascii="Rubik" w:eastAsia="Rubik" w:hAnsi="Rubik" w:cs="Rubik"/>
                <w:i/>
                <w:iCs/>
                <w:color w:val="000000"/>
              </w:rPr>
              <w:t>This might be employees, volunteers, agency/contract staff and job applicants. You should pay particular attention to any lone and client-facing workers, and anyone with a protected characteristic under the Equality Act 2010.</w:t>
            </w:r>
          </w:p>
        </w:tc>
      </w:tr>
    </w:tbl>
    <w:p w14:paraId="43051E6D" w14:textId="77777777" w:rsidR="002B0C6E" w:rsidRDefault="002B0C6E">
      <w:pPr>
        <w:spacing w:after="200"/>
        <w:rPr>
          <w:rFonts w:ascii="Rubik" w:eastAsia="Rubik" w:hAnsi="Rubik" w:cs="Rubik"/>
          <w:b/>
          <w:bCs/>
          <w:color w:val="1370ED"/>
          <w:sz w:val="32"/>
          <w:szCs w:val="32"/>
        </w:rPr>
      </w:pPr>
    </w:p>
    <w:p w14:paraId="366D0328" w14:textId="77777777" w:rsidR="002B0C6E"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t>Risk assessment record</w:t>
      </w:r>
    </w:p>
    <w:p w14:paraId="0F1EDAEB" w14:textId="77777777" w:rsidR="002B0C6E" w:rsidRDefault="00000000">
      <w:pPr>
        <w:spacing w:after="200"/>
        <w:rPr>
          <w:rFonts w:ascii="Rubik" w:eastAsia="Rubik" w:hAnsi="Rubik" w:cs="Rubik"/>
          <w:i/>
          <w:iCs/>
          <w:color w:val="000000"/>
          <w:sz w:val="24"/>
          <w:szCs w:val="24"/>
        </w:rPr>
      </w:pPr>
      <w:r>
        <w:rPr>
          <w:rFonts w:ascii="Rubik" w:eastAsia="Rubik" w:hAnsi="Rubik" w:cs="Rubik"/>
          <w:i/>
          <w:iCs/>
          <w:color w:val="000000"/>
          <w:sz w:val="24"/>
          <w:szCs w:val="24"/>
        </w:rPr>
        <w:t xml:space="preserve">Use the table below to document all potential risks related to </w:t>
      </w:r>
      <w:r>
        <w:rPr>
          <w:rFonts w:ascii="Rubik" w:eastAsia="Rubik" w:hAnsi="Rubik" w:cs="Rubik"/>
          <w:i/>
          <w:iCs/>
          <w:sz w:val="24"/>
          <w:szCs w:val="24"/>
        </w:rPr>
        <w:t>stress and mental health</w:t>
      </w:r>
      <w:r>
        <w:rPr>
          <w:rFonts w:ascii="Rubik" w:eastAsia="Rubik" w:hAnsi="Rubik" w:cs="Rubik"/>
          <w:i/>
          <w:iCs/>
          <w:color w:val="000000"/>
          <w:sz w:val="24"/>
          <w:szCs w:val="24"/>
        </w:rPr>
        <w:t xml:space="preserve"> in your business. Add more rows if needed. </w:t>
      </w:r>
    </w:p>
    <w:p w14:paraId="2DC1247E" w14:textId="77777777" w:rsidR="002B0C6E" w:rsidRDefault="00000000">
      <w:pPr>
        <w:spacing w:after="200"/>
        <w:rPr>
          <w:rFonts w:ascii="Rubik" w:eastAsia="Rubik" w:hAnsi="Rubik" w:cs="Rubik"/>
          <w:i/>
          <w:iCs/>
          <w:color w:val="000000"/>
          <w:sz w:val="24"/>
          <w:szCs w:val="24"/>
        </w:rPr>
      </w:pPr>
      <w:r>
        <w:rPr>
          <w:rFonts w:ascii="Rubik" w:eastAsia="Rubik" w:hAnsi="Rubik" w:cs="Rubik"/>
          <w:i/>
          <w:iCs/>
          <w:color w:val="000000"/>
          <w:sz w:val="24"/>
          <w:szCs w:val="24"/>
        </w:rPr>
        <w:t xml:space="preserve">There’s an example in italics in the first row to help get you started. Remember to remove this and add your own. </w:t>
      </w:r>
    </w:p>
    <w:p w14:paraId="65A1B550" w14:textId="77777777" w:rsidR="002B0C6E" w:rsidRDefault="00000000">
      <w:pPr>
        <w:spacing w:after="200"/>
        <w:rPr>
          <w:rFonts w:ascii="Rubik" w:eastAsia="Rubik" w:hAnsi="Rubik" w:cs="Rubik"/>
          <w:i/>
          <w:iCs/>
          <w:color w:val="000000"/>
          <w:sz w:val="24"/>
          <w:szCs w:val="24"/>
        </w:rPr>
      </w:pPr>
      <w:r>
        <w:rPr>
          <w:rFonts w:ascii="Rubik" w:eastAsia="Rubik" w:hAnsi="Rubik" w:cs="Rubik"/>
          <w:i/>
          <w:iCs/>
          <w:color w:val="000000"/>
          <w:sz w:val="24"/>
          <w:szCs w:val="24"/>
        </w:rPr>
        <w:t xml:space="preserve">You can find guidance on risk ratings at the bottom of this document to help you determine whether risk is high, medium or low. </w:t>
      </w:r>
    </w:p>
    <w:p w14:paraId="07B5991B" w14:textId="77777777" w:rsidR="002B0C6E" w:rsidRDefault="002B0C6E">
      <w:pPr>
        <w:spacing w:after="200"/>
        <w:rPr>
          <w:rFonts w:ascii="Rubik" w:eastAsia="Rubik" w:hAnsi="Rubik" w:cs="Rubik"/>
          <w:color w:val="232323"/>
          <w:sz w:val="24"/>
          <w:szCs w:val="24"/>
        </w:rPr>
      </w:pPr>
    </w:p>
    <w:tbl>
      <w:tblPr>
        <w:tblStyle w:val="a4"/>
        <w:tblW w:w="14668" w:type="dxa"/>
        <w:tblInd w:w="0" w:type="dxa"/>
        <w:tblLayout w:type="fixed"/>
        <w:tblLook w:val="0400" w:firstRow="0" w:lastRow="0" w:firstColumn="0" w:lastColumn="0" w:noHBand="0" w:noVBand="1"/>
      </w:tblPr>
      <w:tblGrid>
        <w:gridCol w:w="566"/>
        <w:gridCol w:w="1740"/>
        <w:gridCol w:w="2092"/>
        <w:gridCol w:w="1390"/>
        <w:gridCol w:w="3545"/>
        <w:gridCol w:w="3420"/>
        <w:gridCol w:w="1915"/>
      </w:tblGrid>
      <w:tr w:rsidR="002B0C6E" w14:paraId="61C12067" w14:textId="77777777">
        <w:trPr>
          <w:tblHeader/>
        </w:trPr>
        <w:tc>
          <w:tcPr>
            <w:tcW w:w="566"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5CBF4885" w14:textId="77777777" w:rsidR="002B0C6E" w:rsidRDefault="00000000">
            <w:pPr>
              <w:spacing w:line="240" w:lineRule="auto"/>
              <w:jc w:val="center"/>
              <w:rPr>
                <w:rFonts w:ascii="Rubik" w:eastAsia="Rubik" w:hAnsi="Rubik" w:cs="Rubik"/>
                <w:b/>
                <w:bCs/>
                <w:sz w:val="24"/>
                <w:szCs w:val="24"/>
              </w:rPr>
            </w:pPr>
            <w:r>
              <w:rPr>
                <w:rFonts w:ascii="Rubik" w:eastAsia="Rubik" w:hAnsi="Rubik" w:cs="Rubik"/>
                <w:b/>
                <w:bCs/>
                <w:color w:val="FFFFFF"/>
                <w:sz w:val="24"/>
                <w:szCs w:val="24"/>
              </w:rPr>
              <w:t>No.</w:t>
            </w:r>
          </w:p>
        </w:tc>
        <w:tc>
          <w:tcPr>
            <w:tcW w:w="1740"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314DFA7F" w14:textId="77777777" w:rsidR="002B0C6E"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Hazard</w:t>
            </w:r>
          </w:p>
          <w:p w14:paraId="178FAE5C" w14:textId="77777777" w:rsidR="002B0C6E" w:rsidRDefault="002B0C6E">
            <w:pPr>
              <w:spacing w:line="240" w:lineRule="auto"/>
              <w:jc w:val="center"/>
              <w:rPr>
                <w:rFonts w:ascii="Rubik" w:eastAsia="Rubik" w:hAnsi="Rubik" w:cs="Rubik"/>
                <w:color w:val="D6DCE5"/>
              </w:rPr>
            </w:pPr>
          </w:p>
          <w:p w14:paraId="7E20B930" w14:textId="77777777" w:rsidR="002B0C6E" w:rsidRDefault="00000000">
            <w:pPr>
              <w:spacing w:line="240" w:lineRule="auto"/>
              <w:jc w:val="center"/>
              <w:rPr>
                <w:rFonts w:ascii="Rubik" w:eastAsia="Rubik" w:hAnsi="Rubik" w:cs="Rubik"/>
                <w:b/>
                <w:bCs/>
              </w:rPr>
            </w:pPr>
            <w:r>
              <w:rPr>
                <w:rFonts w:ascii="Rubik" w:eastAsia="Rubik" w:hAnsi="Rubik" w:cs="Rubik"/>
                <w:color w:val="D6DCE5"/>
              </w:rPr>
              <w:t>Something with the potential to harm.</w:t>
            </w:r>
          </w:p>
        </w:tc>
        <w:tc>
          <w:tcPr>
            <w:tcW w:w="2092"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486D685D" w14:textId="77777777" w:rsidR="002B0C6E"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Possible effects / harm</w:t>
            </w:r>
          </w:p>
          <w:p w14:paraId="2849906D" w14:textId="77777777" w:rsidR="002B0C6E" w:rsidRDefault="002B0C6E">
            <w:pPr>
              <w:spacing w:line="240" w:lineRule="auto"/>
              <w:jc w:val="center"/>
              <w:rPr>
                <w:rFonts w:ascii="Rubik" w:eastAsia="Rubik" w:hAnsi="Rubik" w:cs="Rubik"/>
                <w:color w:val="D6DCE5"/>
              </w:rPr>
            </w:pPr>
          </w:p>
          <w:p w14:paraId="29367ADE" w14:textId="77777777" w:rsidR="002B0C6E" w:rsidRDefault="00000000">
            <w:pPr>
              <w:spacing w:line="240" w:lineRule="auto"/>
              <w:jc w:val="center"/>
              <w:rPr>
                <w:rFonts w:ascii="Rubik" w:eastAsia="Rubik" w:hAnsi="Rubik" w:cs="Rubik"/>
                <w:b/>
                <w:bCs/>
              </w:rPr>
            </w:pPr>
            <w:r>
              <w:rPr>
                <w:rFonts w:ascii="Rubik" w:eastAsia="Rubik" w:hAnsi="Rubik" w:cs="Rubik"/>
                <w:color w:val="D6DCE5"/>
              </w:rPr>
              <w:t>Who could be harmed and how. Where a group could be affected differently, note it.</w:t>
            </w:r>
          </w:p>
        </w:tc>
        <w:tc>
          <w:tcPr>
            <w:tcW w:w="1390"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2A146540" w14:textId="77777777" w:rsidR="002B0C6E" w:rsidRDefault="00000000">
            <w:pPr>
              <w:spacing w:after="40" w:line="240" w:lineRule="auto"/>
              <w:jc w:val="center"/>
              <w:rPr>
                <w:rFonts w:ascii="Rubik" w:eastAsia="Rubik" w:hAnsi="Rubik" w:cs="Rubik"/>
                <w:b/>
                <w:bCs/>
                <w:color w:val="FFFFFF"/>
                <w:sz w:val="24"/>
                <w:szCs w:val="24"/>
              </w:rPr>
            </w:pPr>
            <w:r>
              <w:rPr>
                <w:rFonts w:ascii="Rubik" w:eastAsia="Rubik" w:hAnsi="Rubik" w:cs="Rubik"/>
                <w:b/>
                <w:bCs/>
                <w:color w:val="FFFFFF"/>
                <w:sz w:val="24"/>
                <w:szCs w:val="24"/>
              </w:rPr>
              <w:t>Risk rating before controls </w:t>
            </w:r>
          </w:p>
          <w:p w14:paraId="6B7D107B" w14:textId="77777777" w:rsidR="002B0C6E" w:rsidRDefault="002B0C6E">
            <w:pPr>
              <w:spacing w:after="40" w:line="240" w:lineRule="auto"/>
              <w:jc w:val="center"/>
              <w:rPr>
                <w:rFonts w:ascii="Rubik" w:eastAsia="Rubik" w:hAnsi="Rubik" w:cs="Rubik"/>
                <w:i/>
                <w:iCs/>
                <w:color w:val="FFFFFF"/>
                <w:sz w:val="24"/>
                <w:szCs w:val="24"/>
              </w:rPr>
            </w:pPr>
          </w:p>
          <w:p w14:paraId="37EE1C6B" w14:textId="77777777" w:rsidR="002B0C6E" w:rsidRDefault="00000000">
            <w:pPr>
              <w:spacing w:after="40" w:line="240" w:lineRule="auto"/>
              <w:jc w:val="center"/>
              <w:rPr>
                <w:rFonts w:ascii="Rubik" w:eastAsia="Rubik" w:hAnsi="Rubik" w:cs="Rubik"/>
                <w:b/>
                <w:bCs/>
                <w:sz w:val="24"/>
                <w:szCs w:val="24"/>
              </w:rPr>
            </w:pPr>
            <w:r>
              <w:rPr>
                <w:rFonts w:ascii="Rubik" w:eastAsia="Rubik" w:hAnsi="Rubik" w:cs="Rubik"/>
                <w:i/>
                <w:iCs/>
                <w:color w:val="D6DCE5"/>
                <w:sz w:val="24"/>
                <w:szCs w:val="24"/>
              </w:rPr>
              <w:t>(</w:t>
            </w:r>
            <w:r>
              <w:rPr>
                <w:rFonts w:ascii="Rubik" w:eastAsia="Rubik" w:hAnsi="Rubik" w:cs="Rubik"/>
                <w:color w:val="D6DCE5"/>
                <w:sz w:val="24"/>
                <w:szCs w:val="24"/>
              </w:rPr>
              <w:t>High/ Medium/ Low)</w:t>
            </w:r>
          </w:p>
        </w:tc>
        <w:tc>
          <w:tcPr>
            <w:tcW w:w="3545"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44C517B4" w14:textId="77777777" w:rsidR="002B0C6E"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Detail existing control measures already in place</w:t>
            </w:r>
          </w:p>
          <w:p w14:paraId="582B1E45" w14:textId="77777777" w:rsidR="002B0C6E" w:rsidRDefault="002B0C6E">
            <w:pPr>
              <w:spacing w:line="240" w:lineRule="auto"/>
              <w:rPr>
                <w:rFonts w:ascii="Rubik" w:eastAsia="Rubik" w:hAnsi="Rubik" w:cs="Rubik"/>
                <w:b/>
                <w:bCs/>
              </w:rPr>
            </w:pPr>
          </w:p>
        </w:tc>
        <w:tc>
          <w:tcPr>
            <w:tcW w:w="3420"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09351AA8" w14:textId="77777777" w:rsidR="002B0C6E"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Detail further action required to reduce risk</w:t>
            </w:r>
          </w:p>
          <w:p w14:paraId="554C4D7C" w14:textId="77777777" w:rsidR="002B0C6E" w:rsidRDefault="002B0C6E">
            <w:pPr>
              <w:spacing w:line="240" w:lineRule="auto"/>
              <w:jc w:val="center"/>
              <w:rPr>
                <w:rFonts w:ascii="Rubik" w:eastAsia="Rubik" w:hAnsi="Rubik" w:cs="Rubik"/>
                <w:color w:val="D6DCE5"/>
              </w:rPr>
            </w:pPr>
          </w:p>
          <w:p w14:paraId="6B457F90" w14:textId="77777777" w:rsidR="002B0C6E" w:rsidRDefault="00000000">
            <w:pPr>
              <w:spacing w:line="240" w:lineRule="auto"/>
              <w:jc w:val="center"/>
              <w:rPr>
                <w:rFonts w:ascii="Rubik" w:eastAsia="Rubik" w:hAnsi="Rubik" w:cs="Rubik"/>
                <w:b/>
                <w:bCs/>
              </w:rPr>
            </w:pPr>
            <w:r>
              <w:rPr>
                <w:rFonts w:ascii="Rubik" w:eastAsia="Rubik" w:hAnsi="Rubik" w:cs="Rubik"/>
                <w:color w:val="D6DCE5"/>
              </w:rPr>
              <w:t>Action required, responsible person and target date.</w:t>
            </w:r>
          </w:p>
        </w:tc>
        <w:tc>
          <w:tcPr>
            <w:tcW w:w="1915"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643B9845" w14:textId="77777777" w:rsidR="002B0C6E"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Revised rating after controls </w:t>
            </w:r>
          </w:p>
          <w:p w14:paraId="5D4D6AB4" w14:textId="77777777" w:rsidR="002B0C6E" w:rsidRDefault="002B0C6E">
            <w:pPr>
              <w:spacing w:line="240" w:lineRule="auto"/>
              <w:jc w:val="center"/>
              <w:rPr>
                <w:rFonts w:ascii="Rubik" w:eastAsia="Rubik" w:hAnsi="Rubik" w:cs="Rubik"/>
                <w:b/>
                <w:bCs/>
                <w:color w:val="FFFFFF"/>
                <w:sz w:val="24"/>
                <w:szCs w:val="24"/>
              </w:rPr>
            </w:pPr>
          </w:p>
          <w:p w14:paraId="7E035AD9" w14:textId="77777777" w:rsidR="002B0C6E" w:rsidRDefault="00000000">
            <w:pPr>
              <w:spacing w:line="240" w:lineRule="auto"/>
              <w:jc w:val="center"/>
              <w:rPr>
                <w:rFonts w:ascii="Rubik" w:eastAsia="Rubik" w:hAnsi="Rubik" w:cs="Rubik"/>
                <w:b/>
                <w:bCs/>
              </w:rPr>
            </w:pPr>
            <w:r>
              <w:rPr>
                <w:rFonts w:ascii="Rubik" w:eastAsia="Rubik" w:hAnsi="Rubik" w:cs="Rubik"/>
                <w:color w:val="D6DCE5"/>
              </w:rPr>
              <w:t>(High/Medium/Low)</w:t>
            </w:r>
          </w:p>
        </w:tc>
      </w:tr>
      <w:tr w:rsidR="002B0C6E" w14:paraId="12583A4C" w14:textId="77777777">
        <w:tc>
          <w:tcPr>
            <w:tcW w:w="566"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49050D13" w14:textId="77777777" w:rsidR="002B0C6E" w:rsidRDefault="00000000">
            <w:pPr>
              <w:spacing w:line="240" w:lineRule="auto"/>
              <w:jc w:val="center"/>
              <w:rPr>
                <w:rFonts w:ascii="Rubik" w:eastAsia="Rubik" w:hAnsi="Rubik" w:cs="Rubik"/>
                <w:i/>
                <w:iCs/>
                <w:color w:val="000000"/>
              </w:rPr>
            </w:pPr>
            <w:r>
              <w:rPr>
                <w:rFonts w:ascii="Rubik" w:eastAsia="Rubik" w:hAnsi="Rubik" w:cs="Rubik"/>
                <w:i/>
                <w:iCs/>
                <w:color w:val="000000"/>
              </w:rPr>
              <w:t>1</w:t>
            </w:r>
          </w:p>
        </w:tc>
        <w:tc>
          <w:tcPr>
            <w:tcW w:w="174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61D35CD4" w14:textId="77777777" w:rsidR="002B0C6E" w:rsidRDefault="00000000">
            <w:pPr>
              <w:spacing w:line="240" w:lineRule="auto"/>
              <w:rPr>
                <w:rFonts w:ascii="Rubik" w:eastAsia="Rubik" w:hAnsi="Rubik" w:cs="Rubik"/>
                <w:i/>
                <w:iCs/>
                <w:color w:val="000000"/>
              </w:rPr>
            </w:pPr>
            <w:r>
              <w:rPr>
                <w:rFonts w:ascii="Rubik" w:eastAsia="Rubik" w:hAnsi="Rubik" w:cs="Rubik"/>
                <w:i/>
                <w:iCs/>
                <w:color w:val="000000"/>
              </w:rPr>
              <w:t>Demands – excessive workload, long hours or unrealistic deadlines</w:t>
            </w:r>
          </w:p>
        </w:tc>
        <w:tc>
          <w:tcPr>
            <w:tcW w:w="2092"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049D236F" w14:textId="77777777" w:rsidR="002B0C6E" w:rsidRDefault="00000000">
            <w:pPr>
              <w:spacing w:line="240" w:lineRule="auto"/>
              <w:rPr>
                <w:rFonts w:ascii="Rubik" w:eastAsia="Rubik" w:hAnsi="Rubik" w:cs="Rubik"/>
                <w:i/>
                <w:iCs/>
                <w:color w:val="000000"/>
              </w:rPr>
            </w:pPr>
            <w:r>
              <w:rPr>
                <w:rFonts w:ascii="Rubik" w:eastAsia="Rubik" w:hAnsi="Rubik" w:cs="Rubik"/>
                <w:i/>
                <w:iCs/>
                <w:color w:val="000000"/>
              </w:rPr>
              <w:t xml:space="preserve">Staff and volunteers – fatigue, anxiety, burnout, sleep disturbance and physical ill-health, sustained pressure can trigger or worsen mental ill-health. </w:t>
            </w:r>
          </w:p>
        </w:tc>
        <w:tc>
          <w:tcPr>
            <w:tcW w:w="139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1B651AD0" w14:textId="77777777" w:rsidR="002B0C6E" w:rsidRDefault="00000000">
            <w:pPr>
              <w:spacing w:line="240" w:lineRule="auto"/>
              <w:jc w:val="center"/>
              <w:rPr>
                <w:rFonts w:ascii="Rubik" w:eastAsia="Rubik" w:hAnsi="Rubik" w:cs="Rubik"/>
                <w:i/>
                <w:iCs/>
                <w:color w:val="000000"/>
              </w:rPr>
            </w:pPr>
            <w:r>
              <w:rPr>
                <w:rFonts w:ascii="Rubik" w:eastAsia="Rubik" w:hAnsi="Rubik" w:cs="Rubik"/>
                <w:i/>
                <w:iCs/>
                <w:color w:val="000000"/>
              </w:rPr>
              <w:t>High</w:t>
            </w:r>
          </w:p>
        </w:tc>
        <w:tc>
          <w:tcPr>
            <w:tcW w:w="354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10C26DF7" w14:textId="77777777" w:rsidR="002B0C6E" w:rsidRDefault="00000000">
            <w:pPr>
              <w:spacing w:line="240" w:lineRule="auto"/>
              <w:rPr>
                <w:rFonts w:ascii="Rubik" w:eastAsia="Rubik" w:hAnsi="Rubik" w:cs="Rubik"/>
                <w:i/>
                <w:iCs/>
                <w:color w:val="000000"/>
              </w:rPr>
            </w:pPr>
            <w:r>
              <w:rPr>
                <w:rFonts w:ascii="Rubik" w:eastAsia="Rubik" w:hAnsi="Rubik" w:cs="Rubik"/>
                <w:i/>
                <w:iCs/>
                <w:color w:val="000000"/>
              </w:rPr>
              <w:t xml:space="preserve">Workloads planned against realistic capacity and reviewed in regular 1:1s. Hours and time off in lieu monitored. Cover arranged for absence and peak periods. Staff encouraged to take full breaks and annual leave. </w:t>
            </w:r>
          </w:p>
        </w:tc>
        <w:tc>
          <w:tcPr>
            <w:tcW w:w="342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0E014C63" w14:textId="77777777" w:rsidR="002B0C6E" w:rsidRDefault="00000000">
            <w:pPr>
              <w:spacing w:line="240" w:lineRule="auto"/>
              <w:rPr>
                <w:rFonts w:ascii="Rubik" w:eastAsia="Rubik" w:hAnsi="Rubik" w:cs="Rubik"/>
                <w:i/>
                <w:iCs/>
                <w:color w:val="000000"/>
              </w:rPr>
            </w:pPr>
            <w:r>
              <w:rPr>
                <w:rFonts w:ascii="Rubik" w:eastAsia="Rubik" w:hAnsi="Rubik" w:cs="Rubik"/>
                <w:i/>
                <w:iCs/>
                <w:color w:val="000000"/>
              </w:rPr>
              <w:t>Introduce a workload escalation route so staff can flag unmanageable demands to a named manager without detriment</w:t>
            </w:r>
            <w:r>
              <w:rPr>
                <w:rFonts w:ascii="Rubik" w:eastAsia="Rubik" w:hAnsi="Rubik" w:cs="Rubik"/>
                <w:i/>
                <w:iCs/>
              </w:rPr>
              <w:t>. T</w:t>
            </w:r>
            <w:r>
              <w:rPr>
                <w:rFonts w:ascii="Rubik" w:eastAsia="Rubik" w:hAnsi="Rubik" w:cs="Rubik"/>
                <w:i/>
                <w:iCs/>
                <w:color w:val="000000"/>
              </w:rPr>
              <w:t xml:space="preserve">he managers logs and rebalances within [x] working days. </w:t>
            </w:r>
            <w:r>
              <w:rPr>
                <w:rFonts w:ascii="Rubik" w:eastAsia="Rubik" w:hAnsi="Rubik" w:cs="Rubik"/>
                <w:i/>
                <w:iCs/>
                <w:color w:val="000000"/>
              </w:rPr>
              <w:br/>
            </w:r>
            <w:r>
              <w:rPr>
                <w:rFonts w:ascii="Rubik" w:eastAsia="Rubik" w:hAnsi="Rubik" w:cs="Rubik"/>
                <w:i/>
                <w:iCs/>
                <w:color w:val="000000"/>
              </w:rPr>
              <w:br/>
              <w:t xml:space="preserve">Responsible: [Name] </w:t>
            </w:r>
          </w:p>
          <w:p w14:paraId="62DC3985" w14:textId="77777777" w:rsidR="002B0C6E" w:rsidRDefault="00000000">
            <w:pPr>
              <w:spacing w:line="240" w:lineRule="auto"/>
              <w:rPr>
                <w:rFonts w:ascii="Rubik" w:eastAsia="Rubik" w:hAnsi="Rubik" w:cs="Rubik"/>
                <w:i/>
                <w:iCs/>
                <w:color w:val="000000"/>
              </w:rPr>
            </w:pPr>
            <w:r>
              <w:rPr>
                <w:rFonts w:ascii="Rubik" w:eastAsia="Rubik" w:hAnsi="Rubik" w:cs="Rubik"/>
                <w:i/>
                <w:iCs/>
                <w:color w:val="000000"/>
              </w:rPr>
              <w:t xml:space="preserve">Target: [xx/xx/xxxx] </w:t>
            </w:r>
          </w:p>
        </w:tc>
        <w:tc>
          <w:tcPr>
            <w:tcW w:w="191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35978F10" w14:textId="77777777" w:rsidR="002B0C6E" w:rsidRDefault="00000000">
            <w:pPr>
              <w:spacing w:line="240" w:lineRule="auto"/>
              <w:jc w:val="center"/>
              <w:rPr>
                <w:rFonts w:ascii="Rubik" w:eastAsia="Rubik" w:hAnsi="Rubik" w:cs="Rubik"/>
                <w:i/>
                <w:iCs/>
                <w:color w:val="000000"/>
              </w:rPr>
            </w:pPr>
            <w:r>
              <w:rPr>
                <w:rFonts w:ascii="Rubik" w:eastAsia="Rubik" w:hAnsi="Rubik" w:cs="Rubik"/>
                <w:i/>
                <w:iCs/>
                <w:color w:val="000000"/>
              </w:rPr>
              <w:t>Medium</w:t>
            </w:r>
          </w:p>
        </w:tc>
      </w:tr>
      <w:tr w:rsidR="002B0C6E" w14:paraId="6F9E6708"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5DC13526" w14:textId="77777777" w:rsidR="002B0C6E" w:rsidRDefault="00000000">
            <w:pPr>
              <w:spacing w:line="240" w:lineRule="auto"/>
              <w:jc w:val="center"/>
              <w:rPr>
                <w:rFonts w:ascii="Rubik" w:eastAsia="Rubik" w:hAnsi="Rubik" w:cs="Rubik"/>
              </w:rPr>
            </w:pPr>
            <w:r>
              <w:rPr>
                <w:rFonts w:ascii="Rubik" w:eastAsia="Rubik" w:hAnsi="Rubik" w:cs="Rubik"/>
                <w:color w:val="000000"/>
              </w:rPr>
              <w:lastRenderedPageBreak/>
              <w:t>2</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5820CDD7" w14:textId="77777777" w:rsidR="002B0C6E" w:rsidRDefault="002B0C6E">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D85A58A" w14:textId="77777777" w:rsidR="002B0C6E" w:rsidRDefault="002B0C6E">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B2CA9AE" w14:textId="77777777" w:rsidR="002B0C6E" w:rsidRDefault="002B0C6E">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4B762624" w14:textId="77777777" w:rsidR="002B0C6E" w:rsidRDefault="002B0C6E">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EA21A2F" w14:textId="77777777" w:rsidR="002B0C6E" w:rsidRDefault="002B0C6E">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BD32E26" w14:textId="77777777" w:rsidR="002B0C6E" w:rsidRDefault="002B0C6E">
            <w:pPr>
              <w:spacing w:line="240" w:lineRule="auto"/>
              <w:jc w:val="center"/>
              <w:rPr>
                <w:rFonts w:ascii="Rubik" w:eastAsia="Rubik" w:hAnsi="Rubik" w:cs="Rubik"/>
                <w:color w:val="000000"/>
              </w:rPr>
            </w:pPr>
          </w:p>
        </w:tc>
      </w:tr>
      <w:tr w:rsidR="002B0C6E" w14:paraId="10DBFB0D" w14:textId="77777777">
        <w:tc>
          <w:tcPr>
            <w:tcW w:w="566"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2AE3883B" w14:textId="77777777" w:rsidR="002B0C6E" w:rsidRDefault="00000000">
            <w:pPr>
              <w:spacing w:line="240" w:lineRule="auto"/>
              <w:jc w:val="center"/>
              <w:rPr>
                <w:rFonts w:ascii="Rubik" w:eastAsia="Rubik" w:hAnsi="Rubik" w:cs="Rubik"/>
              </w:rPr>
            </w:pPr>
            <w:r>
              <w:rPr>
                <w:rFonts w:ascii="Rubik" w:eastAsia="Rubik" w:hAnsi="Rubik" w:cs="Rubik"/>
                <w:color w:val="000000"/>
              </w:rPr>
              <w:t>3</w:t>
            </w:r>
          </w:p>
        </w:tc>
        <w:tc>
          <w:tcPr>
            <w:tcW w:w="174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75EE0FAE" w14:textId="77777777" w:rsidR="002B0C6E" w:rsidRDefault="002B0C6E">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48DC74A8" w14:textId="77777777" w:rsidR="002B0C6E" w:rsidRDefault="002B0C6E">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4C7420FB" w14:textId="77777777" w:rsidR="002B0C6E" w:rsidRDefault="002B0C6E">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1E220FC2" w14:textId="77777777" w:rsidR="002B0C6E" w:rsidRDefault="002B0C6E">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1BC33F66" w14:textId="77777777" w:rsidR="002B0C6E" w:rsidRDefault="002B0C6E">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2C63EF31" w14:textId="77777777" w:rsidR="002B0C6E" w:rsidRDefault="002B0C6E">
            <w:pPr>
              <w:spacing w:line="240" w:lineRule="auto"/>
              <w:jc w:val="center"/>
              <w:rPr>
                <w:rFonts w:ascii="Rubik" w:eastAsia="Rubik" w:hAnsi="Rubik" w:cs="Rubik"/>
                <w:color w:val="000000"/>
              </w:rPr>
            </w:pPr>
          </w:p>
        </w:tc>
      </w:tr>
      <w:tr w:rsidR="002B0C6E" w14:paraId="7A3179A4"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23AE9CD" w14:textId="77777777" w:rsidR="002B0C6E" w:rsidRDefault="00000000">
            <w:pPr>
              <w:spacing w:line="240" w:lineRule="auto"/>
              <w:jc w:val="center"/>
              <w:rPr>
                <w:rFonts w:ascii="Rubik" w:eastAsia="Rubik" w:hAnsi="Rubik" w:cs="Rubik"/>
              </w:rPr>
            </w:pPr>
            <w:r>
              <w:rPr>
                <w:rFonts w:ascii="Rubik" w:eastAsia="Rubik" w:hAnsi="Rubik" w:cs="Rubik"/>
                <w:color w:val="000000"/>
              </w:rPr>
              <w:t>4</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92853A3" w14:textId="77777777" w:rsidR="002B0C6E" w:rsidRDefault="002B0C6E">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B1D58D9" w14:textId="77777777" w:rsidR="002B0C6E" w:rsidRDefault="002B0C6E">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5FE6655B" w14:textId="77777777" w:rsidR="002B0C6E" w:rsidRDefault="002B0C6E">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24CB3CE3" w14:textId="77777777" w:rsidR="002B0C6E" w:rsidRDefault="002B0C6E">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23EB885D" w14:textId="77777777" w:rsidR="002B0C6E" w:rsidRDefault="002B0C6E">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1DDB1E98" w14:textId="77777777" w:rsidR="002B0C6E" w:rsidRDefault="002B0C6E">
            <w:pPr>
              <w:spacing w:line="240" w:lineRule="auto"/>
              <w:jc w:val="center"/>
              <w:rPr>
                <w:rFonts w:ascii="Rubik" w:eastAsia="Rubik" w:hAnsi="Rubik" w:cs="Rubik"/>
                <w:color w:val="000000"/>
              </w:rPr>
            </w:pPr>
          </w:p>
        </w:tc>
      </w:tr>
      <w:tr w:rsidR="002B0C6E" w14:paraId="487C6F5A" w14:textId="77777777">
        <w:tc>
          <w:tcPr>
            <w:tcW w:w="566"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57149345" w14:textId="77777777" w:rsidR="002B0C6E" w:rsidRDefault="00000000">
            <w:pPr>
              <w:spacing w:line="240" w:lineRule="auto"/>
              <w:jc w:val="center"/>
              <w:rPr>
                <w:rFonts w:ascii="Rubik" w:eastAsia="Rubik" w:hAnsi="Rubik" w:cs="Rubik"/>
              </w:rPr>
            </w:pPr>
            <w:r>
              <w:rPr>
                <w:rFonts w:ascii="Rubik" w:eastAsia="Rubik" w:hAnsi="Rubik" w:cs="Rubik"/>
                <w:color w:val="000000"/>
              </w:rPr>
              <w:t>5</w:t>
            </w:r>
          </w:p>
        </w:tc>
        <w:tc>
          <w:tcPr>
            <w:tcW w:w="174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4B62A04C" w14:textId="77777777" w:rsidR="002B0C6E" w:rsidRDefault="002B0C6E">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21AC6279" w14:textId="77777777" w:rsidR="002B0C6E" w:rsidRDefault="002B0C6E">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6D4A6DC8" w14:textId="77777777" w:rsidR="002B0C6E" w:rsidRDefault="002B0C6E">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5B6289D7" w14:textId="77777777" w:rsidR="002B0C6E" w:rsidRDefault="002B0C6E">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6E4EE46E" w14:textId="77777777" w:rsidR="002B0C6E" w:rsidRDefault="002B0C6E">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639E3C4E" w14:textId="77777777" w:rsidR="002B0C6E" w:rsidRDefault="002B0C6E">
            <w:pPr>
              <w:spacing w:line="240" w:lineRule="auto"/>
              <w:jc w:val="center"/>
              <w:rPr>
                <w:rFonts w:ascii="Rubik" w:eastAsia="Rubik" w:hAnsi="Rubik" w:cs="Rubik"/>
                <w:color w:val="000000"/>
              </w:rPr>
            </w:pPr>
          </w:p>
        </w:tc>
      </w:tr>
      <w:tr w:rsidR="002B0C6E" w14:paraId="4F858ACB"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8C8A290" w14:textId="77777777" w:rsidR="002B0C6E" w:rsidRDefault="00000000">
            <w:pPr>
              <w:spacing w:line="240" w:lineRule="auto"/>
              <w:jc w:val="center"/>
              <w:rPr>
                <w:rFonts w:ascii="Rubik" w:eastAsia="Rubik" w:hAnsi="Rubik" w:cs="Rubik"/>
              </w:rPr>
            </w:pPr>
            <w:r>
              <w:rPr>
                <w:rFonts w:ascii="Rubik" w:eastAsia="Rubik" w:hAnsi="Rubik" w:cs="Rubik"/>
                <w:color w:val="000000"/>
              </w:rPr>
              <w:t>6</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4116A77" w14:textId="77777777" w:rsidR="002B0C6E" w:rsidRDefault="002B0C6E">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5B2E569B" w14:textId="77777777" w:rsidR="002B0C6E" w:rsidRDefault="002B0C6E">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1BBD706C" w14:textId="77777777" w:rsidR="002B0C6E" w:rsidRDefault="002B0C6E">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4D8E993A" w14:textId="77777777" w:rsidR="002B0C6E" w:rsidRDefault="002B0C6E">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2993689" w14:textId="77777777" w:rsidR="002B0C6E" w:rsidRDefault="002B0C6E">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ACE1842" w14:textId="77777777" w:rsidR="002B0C6E" w:rsidRDefault="002B0C6E">
            <w:pPr>
              <w:spacing w:line="240" w:lineRule="auto"/>
              <w:jc w:val="center"/>
              <w:rPr>
                <w:rFonts w:ascii="Rubik" w:eastAsia="Rubik" w:hAnsi="Rubik" w:cs="Rubik"/>
                <w:color w:val="000000"/>
              </w:rPr>
            </w:pPr>
          </w:p>
        </w:tc>
      </w:tr>
      <w:tr w:rsidR="002B0C6E" w14:paraId="41B6392E"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512A8076" w14:textId="77777777" w:rsidR="002B0C6E" w:rsidRDefault="00000000">
            <w:pPr>
              <w:spacing w:line="240" w:lineRule="auto"/>
              <w:jc w:val="center"/>
              <w:rPr>
                <w:rFonts w:ascii="Rubik" w:eastAsia="Rubik" w:hAnsi="Rubik" w:cs="Rubik"/>
                <w:color w:val="000000"/>
              </w:rPr>
            </w:pPr>
            <w:r>
              <w:rPr>
                <w:rFonts w:ascii="Rubik" w:eastAsia="Rubik" w:hAnsi="Rubik" w:cs="Rubik"/>
                <w:color w:val="000000"/>
              </w:rPr>
              <w:t>7</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68F0C3A" w14:textId="77777777" w:rsidR="002B0C6E" w:rsidRDefault="002B0C6E">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18D4F35A" w14:textId="77777777" w:rsidR="002B0C6E" w:rsidRDefault="002B0C6E">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3C8874D9" w14:textId="77777777" w:rsidR="002B0C6E" w:rsidRDefault="002B0C6E">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59F788AA" w14:textId="77777777" w:rsidR="002B0C6E" w:rsidRDefault="002B0C6E">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842C7D0" w14:textId="77777777" w:rsidR="002B0C6E" w:rsidRDefault="002B0C6E">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4F8392D" w14:textId="77777777" w:rsidR="002B0C6E" w:rsidRDefault="002B0C6E">
            <w:pPr>
              <w:spacing w:line="240" w:lineRule="auto"/>
              <w:jc w:val="center"/>
              <w:rPr>
                <w:rFonts w:ascii="Rubik" w:eastAsia="Rubik" w:hAnsi="Rubik" w:cs="Rubik"/>
                <w:color w:val="000000"/>
              </w:rPr>
            </w:pPr>
          </w:p>
        </w:tc>
      </w:tr>
      <w:tr w:rsidR="002B0C6E" w14:paraId="3DE48D7C"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6BC7EA5" w14:textId="77777777" w:rsidR="002B0C6E" w:rsidRDefault="00000000">
            <w:pPr>
              <w:spacing w:line="240" w:lineRule="auto"/>
              <w:jc w:val="center"/>
              <w:rPr>
                <w:rFonts w:ascii="Rubik" w:eastAsia="Rubik" w:hAnsi="Rubik" w:cs="Rubik"/>
                <w:color w:val="000000"/>
              </w:rPr>
            </w:pPr>
            <w:r>
              <w:rPr>
                <w:rFonts w:ascii="Rubik" w:eastAsia="Rubik" w:hAnsi="Rubik" w:cs="Rubik"/>
                <w:color w:val="000000"/>
              </w:rPr>
              <w:t>8</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85326C2" w14:textId="77777777" w:rsidR="002B0C6E" w:rsidRDefault="002B0C6E">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9029765" w14:textId="77777777" w:rsidR="002B0C6E" w:rsidRDefault="002B0C6E">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377035C" w14:textId="77777777" w:rsidR="002B0C6E" w:rsidRDefault="002B0C6E">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37C8E26C" w14:textId="77777777" w:rsidR="002B0C6E" w:rsidRDefault="002B0C6E">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30A328C5" w14:textId="77777777" w:rsidR="002B0C6E" w:rsidRDefault="002B0C6E">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E5FD7BE" w14:textId="77777777" w:rsidR="002B0C6E" w:rsidRDefault="002B0C6E">
            <w:pPr>
              <w:spacing w:line="240" w:lineRule="auto"/>
              <w:jc w:val="center"/>
              <w:rPr>
                <w:rFonts w:ascii="Rubik" w:eastAsia="Rubik" w:hAnsi="Rubik" w:cs="Rubik"/>
                <w:color w:val="000000"/>
              </w:rPr>
            </w:pPr>
          </w:p>
        </w:tc>
      </w:tr>
    </w:tbl>
    <w:p w14:paraId="04149276" w14:textId="77777777" w:rsidR="002B0C6E" w:rsidRDefault="002B0C6E">
      <w:pPr>
        <w:spacing w:after="200"/>
        <w:rPr>
          <w:rFonts w:ascii="Rubik" w:eastAsia="Rubik" w:hAnsi="Rubik" w:cs="Rubik"/>
          <w:color w:val="1370ED"/>
          <w:sz w:val="28"/>
          <w:szCs w:val="28"/>
        </w:rPr>
      </w:pPr>
    </w:p>
    <w:p w14:paraId="24436620" w14:textId="77777777" w:rsidR="002B0C6E" w:rsidRDefault="002B0C6E">
      <w:pPr>
        <w:spacing w:after="200"/>
        <w:rPr>
          <w:rFonts w:ascii="Rubik" w:eastAsia="Rubik" w:hAnsi="Rubik" w:cs="Rubik"/>
          <w:b/>
          <w:bCs/>
          <w:color w:val="1370ED"/>
          <w:sz w:val="28"/>
          <w:szCs w:val="28"/>
        </w:rPr>
      </w:pPr>
    </w:p>
    <w:p w14:paraId="48B1A860" w14:textId="77777777" w:rsidR="002B0C6E" w:rsidRDefault="002B0C6E">
      <w:pPr>
        <w:spacing w:after="200"/>
        <w:rPr>
          <w:rFonts w:ascii="Rubik" w:eastAsia="Rubik" w:hAnsi="Rubik" w:cs="Rubik"/>
          <w:b/>
          <w:bCs/>
          <w:color w:val="1370ED"/>
          <w:sz w:val="28"/>
          <w:szCs w:val="28"/>
        </w:rPr>
      </w:pPr>
    </w:p>
    <w:p w14:paraId="6295410A" w14:textId="77777777" w:rsidR="002B0C6E" w:rsidRDefault="002B0C6E">
      <w:pPr>
        <w:spacing w:after="200"/>
        <w:rPr>
          <w:rFonts w:ascii="Rubik" w:eastAsia="Rubik" w:hAnsi="Rubik" w:cs="Rubik"/>
          <w:b/>
          <w:bCs/>
          <w:color w:val="1370ED"/>
          <w:sz w:val="28"/>
          <w:szCs w:val="28"/>
        </w:rPr>
      </w:pPr>
    </w:p>
    <w:p w14:paraId="12ED187E" w14:textId="77777777" w:rsidR="002B0C6E" w:rsidRDefault="002B0C6E">
      <w:pPr>
        <w:spacing w:after="200"/>
        <w:rPr>
          <w:rFonts w:ascii="Rubik" w:eastAsia="Rubik" w:hAnsi="Rubik" w:cs="Rubik"/>
          <w:b/>
          <w:bCs/>
          <w:color w:val="1370ED"/>
          <w:sz w:val="28"/>
          <w:szCs w:val="28"/>
        </w:rPr>
      </w:pPr>
    </w:p>
    <w:p w14:paraId="2CD156EB" w14:textId="77777777" w:rsidR="002B0C6E" w:rsidRDefault="002B0C6E">
      <w:pPr>
        <w:spacing w:after="200"/>
        <w:rPr>
          <w:rFonts w:ascii="Rubik" w:eastAsia="Rubik" w:hAnsi="Rubik" w:cs="Rubik"/>
          <w:b/>
          <w:bCs/>
          <w:color w:val="1370ED"/>
          <w:sz w:val="32"/>
          <w:szCs w:val="32"/>
        </w:rPr>
      </w:pPr>
    </w:p>
    <w:p w14:paraId="7600313C" w14:textId="77777777" w:rsidR="002B0C6E"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lastRenderedPageBreak/>
        <w:t>Declaration</w:t>
      </w:r>
    </w:p>
    <w:tbl>
      <w:tblPr>
        <w:tblStyle w:val="a5"/>
        <w:tblW w:w="14668" w:type="dxa"/>
        <w:tblInd w:w="0" w:type="dxa"/>
        <w:tblLayout w:type="fixed"/>
        <w:tblLook w:val="0400" w:firstRow="0" w:lastRow="0" w:firstColumn="0" w:lastColumn="0" w:noHBand="0" w:noVBand="1"/>
      </w:tblPr>
      <w:tblGrid>
        <w:gridCol w:w="11906"/>
        <w:gridCol w:w="574"/>
        <w:gridCol w:w="1614"/>
        <w:gridCol w:w="574"/>
      </w:tblGrid>
      <w:tr w:rsidR="002B0C6E" w14:paraId="0FD22829" w14:textId="77777777">
        <w:tc>
          <w:tcPr>
            <w:tcW w:w="14668" w:type="dxa"/>
            <w:gridSpan w:val="4"/>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006DD006" w14:textId="77777777" w:rsidR="002B0C6E" w:rsidRDefault="00000000">
            <w:pPr>
              <w:spacing w:line="240" w:lineRule="auto"/>
              <w:rPr>
                <w:rFonts w:ascii="Rubik" w:eastAsia="Rubik" w:hAnsi="Rubik" w:cs="Rubik"/>
                <w:sz w:val="24"/>
                <w:szCs w:val="24"/>
              </w:rPr>
            </w:pPr>
            <w:r>
              <w:rPr>
                <w:rFonts w:ascii="Rubik" w:eastAsia="Rubik" w:hAnsi="Rubik" w:cs="Rubik"/>
                <w:b/>
                <w:bCs/>
                <w:color w:val="FFFFFF"/>
                <w:sz w:val="24"/>
                <w:szCs w:val="24"/>
              </w:rPr>
              <w:t>Declaration</w:t>
            </w:r>
          </w:p>
        </w:tc>
      </w:tr>
      <w:tr w:rsidR="002B0C6E" w14:paraId="29700F78" w14:textId="77777777">
        <w:tc>
          <w:tcPr>
            <w:tcW w:w="14668" w:type="dxa"/>
            <w:gridSpan w:val="4"/>
            <w:tcBorders>
              <w:top w:val="single" w:sz="4" w:space="0" w:color="BFBFBF"/>
              <w:left w:val="single" w:sz="4" w:space="0" w:color="BFBFBF"/>
              <w:bottom w:val="single" w:sz="4" w:space="0" w:color="BFBFBF"/>
              <w:right w:val="single" w:sz="4" w:space="0" w:color="BFBFBF"/>
            </w:tcBorders>
            <w:tcMar>
              <w:top w:w="50" w:type="dxa"/>
              <w:left w:w="100" w:type="dxa"/>
              <w:bottom w:w="50" w:type="dxa"/>
              <w:right w:w="100" w:type="dxa"/>
            </w:tcMar>
          </w:tcPr>
          <w:p w14:paraId="0C5B664B" w14:textId="77777777" w:rsidR="002B0C6E" w:rsidRDefault="00000000">
            <w:pPr>
              <w:spacing w:line="240" w:lineRule="auto"/>
              <w:rPr>
                <w:rFonts w:ascii="Rubik" w:eastAsia="Rubik" w:hAnsi="Rubik" w:cs="Rubik"/>
                <w:sz w:val="24"/>
                <w:szCs w:val="24"/>
              </w:rPr>
            </w:pPr>
            <w:r>
              <w:rPr>
                <w:rFonts w:ascii="Rubik" w:eastAsia="Rubik" w:hAnsi="Rubik" w:cs="Rubik"/>
                <w:color w:val="000000"/>
                <w:sz w:val="24"/>
                <w:szCs w:val="24"/>
              </w:rPr>
              <w:t>Managers should monitor and review the application of the specified controls.</w:t>
            </w:r>
          </w:p>
        </w:tc>
      </w:tr>
      <w:tr w:rsidR="002B0C6E" w14:paraId="0049008E" w14:textId="77777777">
        <w:tc>
          <w:tcPr>
            <w:tcW w:w="1190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4B0E43F9" w14:textId="77777777" w:rsidR="002B0C6E" w:rsidRDefault="00000000">
            <w:pPr>
              <w:spacing w:line="240" w:lineRule="auto"/>
              <w:rPr>
                <w:rFonts w:ascii="Rubik" w:eastAsia="Rubik" w:hAnsi="Rubik" w:cs="Rubik"/>
                <w:sz w:val="24"/>
                <w:szCs w:val="24"/>
              </w:rPr>
            </w:pPr>
            <w:r>
              <w:rPr>
                <w:rFonts w:ascii="Rubik" w:eastAsia="Rubik" w:hAnsi="Rubik" w:cs="Rubik"/>
                <w:b/>
                <w:bCs/>
                <w:color w:val="000000"/>
                <w:sz w:val="24"/>
                <w:szCs w:val="24"/>
              </w:rPr>
              <w:t>Prepared by</w:t>
            </w:r>
          </w:p>
        </w:tc>
        <w:tc>
          <w:tcPr>
            <w:tcW w:w="574"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7D5293B0" w14:textId="77777777" w:rsidR="002B0C6E" w:rsidRDefault="00000000">
            <w:pPr>
              <w:spacing w:line="240" w:lineRule="auto"/>
              <w:rPr>
                <w:rFonts w:ascii="Rubik" w:eastAsia="Rubik" w:hAnsi="Rubik" w:cs="Rubik"/>
                <w:sz w:val="24"/>
                <w:szCs w:val="24"/>
              </w:rPr>
            </w:pPr>
            <w:r>
              <w:rPr>
                <w:rFonts w:ascii="Rubik" w:eastAsia="Rubik" w:hAnsi="Rubik" w:cs="Rubik"/>
                <w:color w:val="000000"/>
                <w:sz w:val="24"/>
                <w:szCs w:val="24"/>
              </w:rPr>
              <w:t> </w:t>
            </w:r>
          </w:p>
        </w:tc>
        <w:tc>
          <w:tcPr>
            <w:tcW w:w="1614"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3F8C291" w14:textId="77777777" w:rsidR="002B0C6E" w:rsidRDefault="00000000">
            <w:pPr>
              <w:spacing w:line="240" w:lineRule="auto"/>
              <w:rPr>
                <w:rFonts w:ascii="Rubik" w:eastAsia="Rubik" w:hAnsi="Rubik" w:cs="Rubik"/>
                <w:sz w:val="24"/>
                <w:szCs w:val="24"/>
              </w:rPr>
            </w:pPr>
            <w:r>
              <w:rPr>
                <w:rFonts w:ascii="Rubik" w:eastAsia="Rubik" w:hAnsi="Rubik" w:cs="Rubik"/>
                <w:b/>
                <w:bCs/>
                <w:color w:val="000000"/>
                <w:sz w:val="24"/>
                <w:szCs w:val="24"/>
              </w:rPr>
              <w:t>Date</w:t>
            </w:r>
          </w:p>
        </w:tc>
        <w:tc>
          <w:tcPr>
            <w:tcW w:w="574"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594D29CA" w14:textId="77777777" w:rsidR="002B0C6E" w:rsidRDefault="00000000">
            <w:pPr>
              <w:spacing w:line="240" w:lineRule="auto"/>
              <w:rPr>
                <w:rFonts w:ascii="Rubik" w:eastAsia="Rubik" w:hAnsi="Rubik" w:cs="Rubik"/>
                <w:sz w:val="24"/>
                <w:szCs w:val="24"/>
              </w:rPr>
            </w:pPr>
            <w:r>
              <w:rPr>
                <w:rFonts w:ascii="Rubik" w:eastAsia="Rubik" w:hAnsi="Rubik" w:cs="Rubik"/>
                <w:color w:val="000000"/>
                <w:sz w:val="24"/>
                <w:szCs w:val="24"/>
              </w:rPr>
              <w:t> </w:t>
            </w:r>
          </w:p>
        </w:tc>
      </w:tr>
      <w:tr w:rsidR="002B0C6E" w14:paraId="6340E526" w14:textId="77777777">
        <w:tc>
          <w:tcPr>
            <w:tcW w:w="1190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BA6F6B8" w14:textId="77777777" w:rsidR="002B0C6E" w:rsidRDefault="00000000">
            <w:pPr>
              <w:spacing w:line="240" w:lineRule="auto"/>
              <w:rPr>
                <w:rFonts w:ascii="Rubik" w:eastAsia="Rubik" w:hAnsi="Rubik" w:cs="Rubik"/>
                <w:sz w:val="24"/>
                <w:szCs w:val="24"/>
              </w:rPr>
            </w:pPr>
            <w:r>
              <w:rPr>
                <w:rFonts w:ascii="Rubik" w:eastAsia="Rubik" w:hAnsi="Rubik" w:cs="Rubik"/>
                <w:b/>
                <w:bCs/>
                <w:color w:val="000000"/>
                <w:sz w:val="24"/>
                <w:szCs w:val="24"/>
              </w:rPr>
              <w:t>Signature (competent person / authorised manager)</w:t>
            </w:r>
          </w:p>
        </w:tc>
        <w:tc>
          <w:tcPr>
            <w:tcW w:w="574"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1F53ADFD" w14:textId="77777777" w:rsidR="002B0C6E" w:rsidRDefault="00000000">
            <w:pPr>
              <w:spacing w:line="240" w:lineRule="auto"/>
              <w:rPr>
                <w:rFonts w:ascii="Rubik" w:eastAsia="Rubik" w:hAnsi="Rubik" w:cs="Rubik"/>
                <w:sz w:val="24"/>
                <w:szCs w:val="24"/>
              </w:rPr>
            </w:pPr>
            <w:r>
              <w:rPr>
                <w:rFonts w:ascii="Rubik" w:eastAsia="Rubik" w:hAnsi="Rubik" w:cs="Rubik"/>
                <w:color w:val="000000"/>
                <w:sz w:val="24"/>
                <w:szCs w:val="24"/>
              </w:rPr>
              <w:t> </w:t>
            </w:r>
          </w:p>
        </w:tc>
        <w:tc>
          <w:tcPr>
            <w:tcW w:w="1614"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8468D27" w14:textId="77777777" w:rsidR="002B0C6E" w:rsidRDefault="00000000">
            <w:pPr>
              <w:spacing w:line="240" w:lineRule="auto"/>
              <w:rPr>
                <w:rFonts w:ascii="Rubik" w:eastAsia="Rubik" w:hAnsi="Rubik" w:cs="Rubik"/>
                <w:sz w:val="24"/>
                <w:szCs w:val="24"/>
              </w:rPr>
            </w:pPr>
            <w:r>
              <w:rPr>
                <w:rFonts w:ascii="Rubik" w:eastAsia="Rubik" w:hAnsi="Rubik" w:cs="Rubik"/>
                <w:b/>
                <w:bCs/>
                <w:color w:val="000000"/>
                <w:sz w:val="24"/>
                <w:szCs w:val="24"/>
              </w:rPr>
              <w:t>Date</w:t>
            </w:r>
          </w:p>
        </w:tc>
        <w:tc>
          <w:tcPr>
            <w:tcW w:w="574"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75A20258" w14:textId="77777777" w:rsidR="002B0C6E" w:rsidRDefault="00000000">
            <w:pPr>
              <w:spacing w:line="240" w:lineRule="auto"/>
              <w:rPr>
                <w:rFonts w:ascii="Rubik" w:eastAsia="Rubik" w:hAnsi="Rubik" w:cs="Rubik"/>
                <w:sz w:val="24"/>
                <w:szCs w:val="24"/>
              </w:rPr>
            </w:pPr>
            <w:r>
              <w:rPr>
                <w:rFonts w:ascii="Rubik" w:eastAsia="Rubik" w:hAnsi="Rubik" w:cs="Rubik"/>
                <w:color w:val="000000"/>
                <w:sz w:val="24"/>
                <w:szCs w:val="24"/>
              </w:rPr>
              <w:t> </w:t>
            </w:r>
          </w:p>
        </w:tc>
      </w:tr>
      <w:tr w:rsidR="002B0C6E" w14:paraId="67152EBF" w14:textId="77777777">
        <w:tc>
          <w:tcPr>
            <w:tcW w:w="14668" w:type="dxa"/>
            <w:gridSpan w:val="4"/>
            <w:tcBorders>
              <w:top w:val="single" w:sz="4" w:space="0" w:color="BFBFBF"/>
              <w:left w:val="single" w:sz="4" w:space="0" w:color="BFBFBF"/>
              <w:bottom w:val="single" w:sz="4" w:space="0" w:color="BFBFBF"/>
              <w:right w:val="single" w:sz="4" w:space="0" w:color="BFBFBF"/>
            </w:tcBorders>
            <w:tcMar>
              <w:top w:w="50" w:type="dxa"/>
              <w:left w:w="100" w:type="dxa"/>
              <w:bottom w:w="50" w:type="dxa"/>
              <w:right w:w="100" w:type="dxa"/>
            </w:tcMar>
          </w:tcPr>
          <w:p w14:paraId="4BA3D452" w14:textId="77777777" w:rsidR="002B0C6E" w:rsidRDefault="00000000">
            <w:pPr>
              <w:spacing w:line="240" w:lineRule="auto"/>
              <w:rPr>
                <w:rFonts w:ascii="Rubik" w:eastAsia="Rubik" w:hAnsi="Rubik" w:cs="Rubik"/>
                <w:sz w:val="24"/>
                <w:szCs w:val="24"/>
              </w:rPr>
            </w:pPr>
            <w:r>
              <w:rPr>
                <w:rFonts w:ascii="Rubik" w:eastAsia="Rubik" w:hAnsi="Rubik" w:cs="Rubik"/>
                <w:color w:val="000000"/>
                <w:sz w:val="24"/>
                <w:szCs w:val="24"/>
              </w:rPr>
              <w:t>I certify that all controls are in place which reduce risk to as low as is reasonably practicable, that all relevant staff have been informed, and that safe systems of work have been applied.</w:t>
            </w:r>
          </w:p>
        </w:tc>
      </w:tr>
    </w:tbl>
    <w:p w14:paraId="32AF30E0" w14:textId="77777777" w:rsidR="002B0C6E" w:rsidRDefault="002B0C6E">
      <w:pPr>
        <w:spacing w:after="200"/>
        <w:rPr>
          <w:rFonts w:ascii="Rubik" w:eastAsia="Rubik" w:hAnsi="Rubik" w:cs="Rubik"/>
          <w:b/>
          <w:bCs/>
          <w:color w:val="000000"/>
          <w:sz w:val="32"/>
          <w:szCs w:val="32"/>
        </w:rPr>
      </w:pPr>
    </w:p>
    <w:p w14:paraId="05F2D2E7" w14:textId="77777777" w:rsidR="002B0C6E" w:rsidRDefault="00000000">
      <w:pPr>
        <w:spacing w:after="200"/>
        <w:rPr>
          <w:rFonts w:ascii="Rubik" w:eastAsia="Rubik" w:hAnsi="Rubik" w:cs="Rubik"/>
          <w:i/>
          <w:iCs/>
        </w:rPr>
      </w:pPr>
      <w:r>
        <w:rPr>
          <w:rFonts w:ascii="Rubik" w:eastAsia="Rubik" w:hAnsi="Rubik" w:cs="Rubik"/>
          <w:b/>
          <w:bCs/>
          <w:i/>
          <w:iCs/>
          <w:color w:val="1370ED"/>
          <w:sz w:val="32"/>
          <w:szCs w:val="32"/>
        </w:rPr>
        <w:t>Support a healthier way of working</w:t>
      </w:r>
      <w:r>
        <w:rPr>
          <w:rFonts w:ascii="Rubik" w:eastAsia="Rubik" w:hAnsi="Rubik" w:cs="Rubik"/>
          <w:b/>
          <w:bCs/>
          <w:i/>
          <w:iCs/>
          <w:color w:val="1370ED"/>
          <w:sz w:val="32"/>
          <w:szCs w:val="32"/>
        </w:rPr>
        <w:br/>
      </w:r>
      <w:r>
        <w:rPr>
          <w:rFonts w:ascii="Rubik" w:eastAsia="Rubik" w:hAnsi="Rubik" w:cs="Rubik"/>
          <w:b/>
          <w:bCs/>
          <w:color w:val="1370ED"/>
          <w:sz w:val="28"/>
          <w:szCs w:val="28"/>
        </w:rPr>
        <w:br/>
      </w:r>
      <w:r>
        <w:rPr>
          <w:rFonts w:ascii="Rubik" w:eastAsia="Rubik" w:hAnsi="Rubik" w:cs="Rubik"/>
          <w:i/>
          <w:iCs/>
        </w:rPr>
        <w:t xml:space="preserve">Completing a mental health and stress risk assessment is a useful step, but it works best when it leads to clear action. That could mean reviewing workloads, recording follow-up actions, keeping policies and wellbeing information easy to access, and making sure managers are trained to spot concerns early and respond appropriately. </w:t>
      </w:r>
    </w:p>
    <w:p w14:paraId="4F918D02" w14:textId="77777777" w:rsidR="002B0C6E" w:rsidRDefault="00000000">
      <w:pPr>
        <w:spacing w:after="200"/>
        <w:rPr>
          <w:rFonts w:ascii="Rubik" w:eastAsia="Rubik" w:hAnsi="Rubik" w:cs="Rubik"/>
          <w:i/>
          <w:iCs/>
        </w:rPr>
      </w:pPr>
      <w:r>
        <w:rPr>
          <w:rFonts w:ascii="Rubik" w:eastAsia="Rubik" w:hAnsi="Rubik" w:cs="Rubik"/>
          <w:i/>
          <w:iCs/>
        </w:rPr>
        <w:t xml:space="preserve">Breathe brings HR and health and safety together in one software, so you can log incidents and manage risk assessments alongside employee data, policies, training and absence records. With both your people and compliance tools working together in the same system, it’s easier to keep practical actions connected, stay organised and support employee wellbeing more consistently. </w:t>
      </w:r>
    </w:p>
    <w:p w14:paraId="1DDB5C32" w14:textId="77777777" w:rsidR="002B0C6E" w:rsidRDefault="00000000">
      <w:pPr>
        <w:spacing w:after="200"/>
        <w:rPr>
          <w:rFonts w:ascii="Rubik" w:eastAsia="Rubik" w:hAnsi="Rubik" w:cs="Rubik"/>
          <w:i/>
          <w:iCs/>
        </w:rPr>
      </w:pPr>
      <w:r>
        <w:rPr>
          <w:rFonts w:ascii="Rubik" w:eastAsia="Rubik" w:hAnsi="Rubik" w:cs="Rubik"/>
          <w:i/>
          <w:iCs/>
        </w:rPr>
        <w:t>You can test out Breathe for yourself for free for 14 days. And, if you’d like expert HR, legal or health and safety advice, Omny Group is here to help.</w:t>
      </w:r>
    </w:p>
    <w:p w14:paraId="036CB52C" w14:textId="77777777" w:rsidR="002B0C6E" w:rsidRDefault="00000000">
      <w:pPr>
        <w:spacing w:after="200"/>
        <w:rPr>
          <w:rFonts w:ascii="Rubik" w:eastAsia="Rubik" w:hAnsi="Rubik" w:cs="Rubik"/>
          <w:i/>
          <w:iCs/>
          <w:color w:val="000000"/>
        </w:rPr>
      </w:pPr>
      <w:r>
        <w:rPr>
          <w:noProof/>
        </w:rPr>
        <mc:AlternateContent>
          <mc:Choice Requires="wps">
            <w:drawing>
              <wp:anchor distT="0" distB="0" distL="114300" distR="114300" simplePos="0" relativeHeight="251658240" behindDoc="0" locked="0" layoutInCell="1" hidden="0" allowOverlap="1" wp14:anchorId="2ADB8860" wp14:editId="430B99C6">
                <wp:simplePos x="0" y="0"/>
                <wp:positionH relativeFrom="column">
                  <wp:posOffset>-12698</wp:posOffset>
                </wp:positionH>
                <wp:positionV relativeFrom="paragraph">
                  <wp:posOffset>88900</wp:posOffset>
                </wp:positionV>
                <wp:extent cx="3505200" cy="525145"/>
                <wp:effectExtent l="0" t="0" r="0" b="0"/>
                <wp:wrapNone/>
                <wp:docPr id="6" name="Rounded Rectangle 6"/>
                <wp:cNvGraphicFramePr/>
                <a:graphic xmlns:a="http://schemas.openxmlformats.org/drawingml/2006/main">
                  <a:graphicData uri="http://schemas.microsoft.com/office/word/2010/wordprocessingShape">
                    <wps:wsp>
                      <wps:cNvSpPr/>
                      <wps:spPr>
                        <a:xfrm>
                          <a:off x="3606100" y="3530128"/>
                          <a:ext cx="3479800" cy="499745"/>
                        </a:xfrm>
                        <a:prstGeom prst="roundRect">
                          <a:avLst>
                            <a:gd name="adj" fmla="val 50000"/>
                          </a:avLst>
                        </a:prstGeom>
                        <a:solidFill>
                          <a:srgbClr val="1370ED"/>
                        </a:solidFill>
                        <a:ln w="12700" cap="flat" cmpd="sng">
                          <a:solidFill>
                            <a:srgbClr val="232323"/>
                          </a:solidFill>
                          <a:prstDash val="solid"/>
                          <a:round/>
                          <a:headEnd type="none" w="sm" len="sm"/>
                          <a:tailEnd type="none" w="sm" len="sm"/>
                        </a:ln>
                      </wps:spPr>
                      <wps:txbx>
                        <w:txbxContent>
                          <w:p w14:paraId="50875F94" w14:textId="6E5CE135" w:rsidR="002B0C6E" w:rsidRPr="00A36523" w:rsidRDefault="00A36523">
                            <w:pPr>
                              <w:spacing w:line="240" w:lineRule="auto"/>
                              <w:jc w:val="center"/>
                              <w:textDirection w:val="btLr"/>
                              <w:rPr>
                                <w:color w:val="FFFFFF" w:themeColor="background1"/>
                              </w:rPr>
                            </w:pPr>
                            <w:hyperlink r:id="rId12" w:history="1">
                              <w:r w:rsidR="00000000" w:rsidRPr="00A36523">
                                <w:rPr>
                                  <w:rStyle w:val="Hyperlink"/>
                                  <w:rFonts w:ascii="Rubik" w:eastAsia="Rubik" w:hAnsi="Rubik" w:cs="Rubik"/>
                                  <w:b/>
                                  <w:color w:val="FFFFFF" w:themeColor="background1"/>
                                  <w:sz w:val="32"/>
                                </w:rPr>
                                <w:t>Try Breathe for free for 14 days</w:t>
                              </w:r>
                            </w:hyperlink>
                          </w:p>
                        </w:txbxContent>
                      </wps:txbx>
                      <wps:bodyPr spcFirstLastPara="1" wrap="square" lIns="91425" tIns="45700" rIns="91425" bIns="45700" anchor="t" anchorCtr="0">
                        <a:noAutofit/>
                      </wps:bodyPr>
                    </wps:wsp>
                  </a:graphicData>
                </a:graphic>
              </wp:anchor>
            </w:drawing>
          </mc:Choice>
          <mc:Fallback>
            <w:pict>
              <v:roundrect w14:anchorId="2ADB8860" id="Rounded Rectangle 6" o:spid="_x0000_s1026" style="position:absolute;margin-left:-1pt;margin-top:7pt;width:276pt;height:41.35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" fillcolor="#1370ed" strokecolor="#232323" strokeweight="1pt">
                <v:stroke startarrowwidth="narrow" startarrowlength="short" endarrowwidth="narrow" endarrowlength="short"/>
                <v:textbox inset="2.53958mm,1.2694mm,2.53958mm,1.2694mm">
                  <w:txbxContent>
                    <w:p w14:paraId="50875F94" w14:textId="6E5CE135" w:rsidR="002B0C6E" w:rsidRPr="00A36523" w:rsidRDefault="00A36523">
                      <w:pPr>
                        <w:spacing w:line="240" w:lineRule="auto"/>
                        <w:jc w:val="center"/>
                        <w:textDirection w:val="btLr"/>
                        <w:rPr>
                          <w:color w:val="FFFFFF" w:themeColor="background1"/>
                        </w:rPr>
                      </w:pPr>
                      <w:hyperlink r:id="rId13" w:history="1">
                        <w:r w:rsidR="00000000" w:rsidRPr="00A36523">
                          <w:rPr>
                            <w:rStyle w:val="Hyperlink"/>
                            <w:rFonts w:ascii="Rubik" w:eastAsia="Rubik" w:hAnsi="Rubik" w:cs="Rubik"/>
                            <w:b/>
                            <w:color w:val="FFFFFF" w:themeColor="background1"/>
                            <w:sz w:val="32"/>
                          </w:rPr>
                          <w:t>Try Breathe for free for 14 days</w:t>
                        </w:r>
                      </w:hyperlink>
                    </w:p>
                  </w:txbxContent>
                </v:textbox>
              </v:roundrect>
            </w:pict>
          </mc:Fallback>
        </mc:AlternateContent>
      </w:r>
      <w:r>
        <w:rPr>
          <w:noProof/>
        </w:rPr>
        <mc:AlternateContent>
          <mc:Choice Requires="wps">
            <w:drawing>
              <wp:anchor distT="0" distB="0" distL="114300" distR="114300" simplePos="0" relativeHeight="251659264" behindDoc="0" locked="0" layoutInCell="1" hidden="0" allowOverlap="1" wp14:anchorId="2F172509" wp14:editId="25F49786">
                <wp:simplePos x="0" y="0"/>
                <wp:positionH relativeFrom="column">
                  <wp:posOffset>3740150</wp:posOffset>
                </wp:positionH>
                <wp:positionV relativeFrom="paragraph">
                  <wp:posOffset>88900</wp:posOffset>
                </wp:positionV>
                <wp:extent cx="3505200" cy="525145"/>
                <wp:effectExtent l="0" t="0" r="0" b="0"/>
                <wp:wrapNone/>
                <wp:docPr id="5" name="Rounded Rectangle 5"/>
                <wp:cNvGraphicFramePr/>
                <a:graphic xmlns:a="http://schemas.openxmlformats.org/drawingml/2006/main">
                  <a:graphicData uri="http://schemas.microsoft.com/office/word/2010/wordprocessingShape">
                    <wps:wsp>
                      <wps:cNvSpPr/>
                      <wps:spPr>
                        <a:xfrm>
                          <a:off x="3606100" y="3530128"/>
                          <a:ext cx="3479800" cy="499745"/>
                        </a:xfrm>
                        <a:prstGeom prst="roundRect">
                          <a:avLst>
                            <a:gd name="adj" fmla="val 50000"/>
                          </a:avLst>
                        </a:prstGeom>
                        <a:solidFill>
                          <a:srgbClr val="AAFF76"/>
                        </a:solidFill>
                        <a:ln w="12700" cap="flat" cmpd="sng">
                          <a:solidFill>
                            <a:srgbClr val="232323"/>
                          </a:solidFill>
                          <a:prstDash val="solid"/>
                          <a:round/>
                          <a:headEnd type="none" w="sm" len="sm"/>
                          <a:tailEnd type="none" w="sm" len="sm"/>
                        </a:ln>
                      </wps:spPr>
                      <wps:txbx>
                        <w:txbxContent>
                          <w:p w14:paraId="38007AB6" w14:textId="270AF2A5" w:rsidR="002B0C6E" w:rsidRPr="00A36523" w:rsidRDefault="00A36523">
                            <w:pPr>
                              <w:spacing w:line="240" w:lineRule="auto"/>
                              <w:jc w:val="center"/>
                              <w:textDirection w:val="btLr"/>
                              <w:rPr>
                                <w:color w:val="000000" w:themeColor="text1"/>
                              </w:rPr>
                            </w:pPr>
                            <w:hyperlink r:id="rId14" w:history="1">
                              <w:r w:rsidR="00000000" w:rsidRPr="00A36523">
                                <w:rPr>
                                  <w:rStyle w:val="Hyperlink"/>
                                  <w:rFonts w:ascii="Rubik" w:eastAsia="Rubik" w:hAnsi="Rubik" w:cs="Rubik"/>
                                  <w:b/>
                                  <w:color w:val="000000" w:themeColor="text1"/>
                                  <w:sz w:val="32"/>
                                </w:rPr>
                                <w:t>Contact Omny Group</w:t>
                              </w:r>
                            </w:hyperlink>
                          </w:p>
                        </w:txbxContent>
                      </wps:txbx>
                      <wps:bodyPr spcFirstLastPara="1" wrap="square" lIns="91425" tIns="45700" rIns="91425" bIns="45700" anchor="t" anchorCtr="0">
                        <a:noAutofit/>
                      </wps:bodyPr>
                    </wps:wsp>
                  </a:graphicData>
                </a:graphic>
              </wp:anchor>
            </w:drawing>
          </mc:Choice>
          <mc:Fallback>
            <w:pict>
              <v:roundrect w14:anchorId="2F172509" id="Rounded Rectangle 5" o:spid="_x0000_s1027" style="position:absolute;margin-left:294.5pt;margin-top:7pt;width:276pt;height:41.3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" fillcolor="#aaff76" strokecolor="#232323" strokeweight="1pt">
                <v:stroke startarrowwidth="narrow" startarrowlength="short" endarrowwidth="narrow" endarrowlength="short"/>
                <v:textbox inset="2.53958mm,1.2694mm,2.53958mm,1.2694mm">
                  <w:txbxContent>
                    <w:p w14:paraId="38007AB6" w14:textId="270AF2A5" w:rsidR="002B0C6E" w:rsidRPr="00A36523" w:rsidRDefault="00A36523">
                      <w:pPr>
                        <w:spacing w:line="240" w:lineRule="auto"/>
                        <w:jc w:val="center"/>
                        <w:textDirection w:val="btLr"/>
                        <w:rPr>
                          <w:color w:val="000000" w:themeColor="text1"/>
                        </w:rPr>
                      </w:pPr>
                      <w:hyperlink r:id="rId15" w:history="1">
                        <w:r w:rsidR="00000000" w:rsidRPr="00A36523">
                          <w:rPr>
                            <w:rStyle w:val="Hyperlink"/>
                            <w:rFonts w:ascii="Rubik" w:eastAsia="Rubik" w:hAnsi="Rubik" w:cs="Rubik"/>
                            <w:b/>
                            <w:color w:val="000000" w:themeColor="text1"/>
                            <w:sz w:val="32"/>
                          </w:rPr>
                          <w:t>Contact Omny Group</w:t>
                        </w:r>
                      </w:hyperlink>
                    </w:p>
                  </w:txbxContent>
                </v:textbox>
              </v:roundrect>
            </w:pict>
          </mc:Fallback>
        </mc:AlternateContent>
      </w:r>
    </w:p>
    <w:p w14:paraId="7C6F05A3" w14:textId="77777777" w:rsidR="002B0C6E" w:rsidRDefault="002B0C6E">
      <w:pPr>
        <w:spacing w:after="200"/>
        <w:rPr>
          <w:rFonts w:ascii="Rubik" w:eastAsia="Rubik" w:hAnsi="Rubik" w:cs="Rubik"/>
          <w:highlight w:val="green"/>
        </w:rPr>
      </w:pPr>
    </w:p>
    <w:p w14:paraId="4A38484F" w14:textId="77777777" w:rsidR="002B0C6E" w:rsidRDefault="002B0C6E">
      <w:pPr>
        <w:spacing w:after="200"/>
        <w:rPr>
          <w:rFonts w:ascii="Rubik" w:eastAsia="Rubik" w:hAnsi="Rubik" w:cs="Rubik"/>
          <w:b/>
          <w:bCs/>
          <w:color w:val="000000"/>
          <w:sz w:val="32"/>
          <w:szCs w:val="32"/>
        </w:rPr>
      </w:pPr>
    </w:p>
    <w:p w14:paraId="6C3ACF8B" w14:textId="77777777" w:rsidR="002B0C6E" w:rsidRDefault="002B0C6E">
      <w:pPr>
        <w:spacing w:after="200"/>
        <w:rPr>
          <w:rFonts w:ascii="Rubik" w:eastAsia="Rubik" w:hAnsi="Rubik" w:cs="Rubik"/>
          <w:b/>
          <w:bCs/>
          <w:color w:val="1370ED"/>
          <w:sz w:val="32"/>
          <w:szCs w:val="32"/>
        </w:rPr>
      </w:pPr>
    </w:p>
    <w:p w14:paraId="27390753" w14:textId="77777777" w:rsidR="002B0C6E"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t>Risk rating guidance</w:t>
      </w:r>
    </w:p>
    <w:p w14:paraId="51DAD07F" w14:textId="77777777" w:rsidR="002B0C6E" w:rsidRDefault="002B0C6E">
      <w:pPr>
        <w:spacing w:after="200"/>
        <w:rPr>
          <w:rFonts w:ascii="Rubik" w:eastAsia="Rubik" w:hAnsi="Rubik" w:cs="Rubik"/>
          <w:i/>
          <w:iCs/>
        </w:rPr>
      </w:pPr>
    </w:p>
    <w:p w14:paraId="527D6DB4" w14:textId="77777777" w:rsidR="002B0C6E" w:rsidRDefault="00000000">
      <w:pPr>
        <w:spacing w:after="80" w:line="240" w:lineRule="auto"/>
        <w:rPr>
          <w:rFonts w:ascii="Rubik" w:eastAsia="Rubik" w:hAnsi="Rubik" w:cs="Rubik"/>
          <w:i/>
          <w:iCs/>
          <w:color w:val="000000"/>
        </w:rPr>
      </w:pPr>
      <w:r>
        <w:rPr>
          <w:rFonts w:ascii="Rubik" w:eastAsia="Rubik" w:hAnsi="Rubik" w:cs="Rubik"/>
          <w:i/>
          <w:iCs/>
          <w:color w:val="000000"/>
        </w:rPr>
        <w:t xml:space="preserve">This is </w:t>
      </w:r>
      <w:r>
        <w:rPr>
          <w:rFonts w:ascii="Rubik" w:eastAsia="Rubik" w:hAnsi="Rubik" w:cs="Rubik"/>
          <w:b/>
          <w:bCs/>
          <w:i/>
          <w:iCs/>
          <w:color w:val="000000"/>
        </w:rPr>
        <w:t>your</w:t>
      </w:r>
      <w:r>
        <w:rPr>
          <w:rFonts w:ascii="Rubik" w:eastAsia="Rubik" w:hAnsi="Rubik" w:cs="Rubik"/>
          <w:i/>
          <w:iCs/>
          <w:color w:val="000000"/>
        </w:rPr>
        <w:t xml:space="preserve"> evaluation of the potential impact and likelihood of harm occurring in your business. Apply professional judgement against the descriptions below.</w:t>
      </w:r>
    </w:p>
    <w:p w14:paraId="30E67CDD" w14:textId="77777777" w:rsidR="002B0C6E" w:rsidRDefault="002B0C6E">
      <w:pPr>
        <w:spacing w:after="80" w:line="240" w:lineRule="auto"/>
        <w:rPr>
          <w:rFonts w:ascii="Rubik" w:eastAsia="Rubik" w:hAnsi="Rubik" w:cs="Rubik"/>
          <w:sz w:val="24"/>
          <w:szCs w:val="24"/>
        </w:rPr>
      </w:pPr>
    </w:p>
    <w:tbl>
      <w:tblPr>
        <w:tblStyle w:val="a6"/>
        <w:tblW w:w="14668" w:type="dxa"/>
        <w:tblInd w:w="0" w:type="dxa"/>
        <w:tblLayout w:type="fixed"/>
        <w:tblLook w:val="0400" w:firstRow="0" w:lastRow="0" w:firstColumn="0" w:lastColumn="0" w:noHBand="0" w:noVBand="1"/>
      </w:tblPr>
      <w:tblGrid>
        <w:gridCol w:w="8738"/>
        <w:gridCol w:w="5930"/>
      </w:tblGrid>
      <w:tr w:rsidR="002B0C6E" w14:paraId="2409FDC5" w14:textId="77777777">
        <w:trPr>
          <w:tblHeader/>
        </w:trPr>
        <w:tc>
          <w:tcPr>
            <w:tcW w:w="8738"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15510866" w14:textId="77777777" w:rsidR="002B0C6E" w:rsidRDefault="00000000">
            <w:pPr>
              <w:spacing w:line="240" w:lineRule="auto"/>
              <w:jc w:val="center"/>
              <w:rPr>
                <w:rFonts w:ascii="Rubik" w:eastAsia="Rubik" w:hAnsi="Rubik" w:cs="Rubik"/>
                <w:b/>
                <w:bCs/>
              </w:rPr>
            </w:pPr>
            <w:r>
              <w:rPr>
                <w:rFonts w:ascii="Rubik" w:eastAsia="Rubik" w:hAnsi="Rubik" w:cs="Rubik"/>
                <w:b/>
                <w:bCs/>
                <w:color w:val="FFFFFF"/>
              </w:rPr>
              <w:t>Risk rating</w:t>
            </w:r>
          </w:p>
        </w:tc>
        <w:tc>
          <w:tcPr>
            <w:tcW w:w="5930"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60BBE9EC" w14:textId="77777777" w:rsidR="002B0C6E" w:rsidRDefault="00000000">
            <w:pPr>
              <w:spacing w:line="240" w:lineRule="auto"/>
              <w:jc w:val="center"/>
              <w:rPr>
                <w:rFonts w:ascii="Rubik" w:eastAsia="Rubik" w:hAnsi="Rubik" w:cs="Rubik"/>
                <w:b/>
                <w:bCs/>
              </w:rPr>
            </w:pPr>
            <w:r>
              <w:rPr>
                <w:rFonts w:ascii="Rubik" w:eastAsia="Rubik" w:hAnsi="Rubik" w:cs="Rubik"/>
                <w:b/>
                <w:bCs/>
                <w:color w:val="FFFFFF"/>
              </w:rPr>
              <w:t>Action required</w:t>
            </w:r>
          </w:p>
        </w:tc>
      </w:tr>
      <w:tr w:rsidR="002B0C6E" w14:paraId="2055382D" w14:textId="77777777">
        <w:tc>
          <w:tcPr>
            <w:tcW w:w="8738" w:type="dxa"/>
            <w:tcBorders>
              <w:top w:val="single" w:sz="4" w:space="0" w:color="BFBFBF"/>
              <w:left w:val="single" w:sz="4" w:space="0" w:color="BFBFBF"/>
              <w:bottom w:val="single" w:sz="4" w:space="0" w:color="BFBFBF"/>
              <w:right w:val="single" w:sz="4" w:space="0" w:color="BFBFBF"/>
            </w:tcBorders>
            <w:tcMar>
              <w:top w:w="55" w:type="dxa"/>
              <w:left w:w="110" w:type="dxa"/>
              <w:bottom w:w="55" w:type="dxa"/>
              <w:right w:w="110" w:type="dxa"/>
            </w:tcMar>
          </w:tcPr>
          <w:p w14:paraId="2E592BC9" w14:textId="77777777" w:rsidR="002B0C6E" w:rsidRDefault="00000000">
            <w:pPr>
              <w:spacing w:after="40" w:line="240" w:lineRule="auto"/>
              <w:rPr>
                <w:rFonts w:ascii="Rubik" w:eastAsia="Rubik" w:hAnsi="Rubik" w:cs="Rubik"/>
              </w:rPr>
            </w:pPr>
            <w:r>
              <w:rPr>
                <w:rFonts w:ascii="Rubik" w:eastAsia="Rubik" w:hAnsi="Rubik" w:cs="Rubik"/>
                <w:b/>
                <w:bCs/>
                <w:color w:val="C00000"/>
              </w:rPr>
              <w:t>High</w:t>
            </w:r>
          </w:p>
          <w:p w14:paraId="2DF180DB" w14:textId="77777777" w:rsidR="002B0C6E" w:rsidRDefault="00000000">
            <w:pPr>
              <w:spacing w:line="240" w:lineRule="auto"/>
              <w:rPr>
                <w:rFonts w:ascii="Rubik" w:eastAsia="Rubik" w:hAnsi="Rubik" w:cs="Rubik"/>
              </w:rPr>
            </w:pPr>
            <w:r>
              <w:rPr>
                <w:rFonts w:ascii="Rubik" w:eastAsia="Rubik" w:hAnsi="Rubik" w:cs="Rubik"/>
                <w:i/>
                <w:iCs/>
                <w:color w:val="000000"/>
              </w:rPr>
              <w:t xml:space="preserve">For example: </w:t>
            </w:r>
            <w:r>
              <w:rPr>
                <w:rFonts w:ascii="Rubik" w:eastAsia="Rubik" w:hAnsi="Rubik" w:cs="Rubik"/>
                <w:color w:val="000000"/>
              </w:rPr>
              <w:t>Serious harm</w:t>
            </w:r>
            <w:r>
              <w:rPr>
                <w:rFonts w:ascii="Rubik" w:eastAsia="Rubik" w:hAnsi="Rubik" w:cs="Rubik"/>
                <w:i/>
                <w:iCs/>
                <w:color w:val="000000"/>
              </w:rPr>
              <w:t xml:space="preserve">, </w:t>
            </w:r>
            <w:r>
              <w:rPr>
                <w:rFonts w:ascii="Rubik" w:eastAsia="Rubik" w:hAnsi="Rubik" w:cs="Rubik"/>
                <w:color w:val="000000"/>
              </w:rPr>
              <w:t>a fatality or major injury to several people is possible, even if infrequent. Risk of significant financial penalties and reputational damage.</w:t>
            </w:r>
          </w:p>
        </w:tc>
        <w:tc>
          <w:tcPr>
            <w:tcW w:w="593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24E92C4C" w14:textId="77777777" w:rsidR="002B0C6E" w:rsidRDefault="00000000">
            <w:pPr>
              <w:spacing w:line="240" w:lineRule="auto"/>
              <w:rPr>
                <w:rFonts w:ascii="Rubik" w:eastAsia="Rubik" w:hAnsi="Rubik" w:cs="Rubik"/>
              </w:rPr>
            </w:pPr>
            <w:r>
              <w:rPr>
                <w:rFonts w:ascii="Rubik" w:eastAsia="Rubik" w:hAnsi="Rubik" w:cs="Rubik"/>
                <w:color w:val="000000"/>
              </w:rPr>
              <w:t>Immediate action required. Do not start or continue the activity until the risk is reduced to Medium or Low.</w:t>
            </w:r>
          </w:p>
        </w:tc>
      </w:tr>
      <w:tr w:rsidR="002B0C6E" w14:paraId="0F373BC7" w14:textId="77777777">
        <w:tc>
          <w:tcPr>
            <w:tcW w:w="8738" w:type="dxa"/>
            <w:tcBorders>
              <w:top w:val="single" w:sz="4" w:space="0" w:color="BFBFBF"/>
              <w:left w:val="single" w:sz="4" w:space="0" w:color="BFBFBF"/>
              <w:bottom w:val="single" w:sz="4" w:space="0" w:color="BFBFBF"/>
              <w:right w:val="single" w:sz="4" w:space="0" w:color="BFBFBF"/>
            </w:tcBorders>
            <w:tcMar>
              <w:top w:w="55" w:type="dxa"/>
              <w:left w:w="110" w:type="dxa"/>
              <w:bottom w:w="55" w:type="dxa"/>
              <w:right w:w="110" w:type="dxa"/>
            </w:tcMar>
          </w:tcPr>
          <w:p w14:paraId="0058E4A7" w14:textId="77777777" w:rsidR="002B0C6E" w:rsidRDefault="00000000">
            <w:pPr>
              <w:spacing w:after="40" w:line="240" w:lineRule="auto"/>
              <w:rPr>
                <w:rFonts w:ascii="Rubik" w:eastAsia="Rubik" w:hAnsi="Rubik" w:cs="Rubik"/>
              </w:rPr>
            </w:pPr>
            <w:r>
              <w:rPr>
                <w:rFonts w:ascii="Rubik" w:eastAsia="Rubik" w:hAnsi="Rubik" w:cs="Rubik"/>
                <w:b/>
                <w:bCs/>
                <w:color w:val="C55A11"/>
              </w:rPr>
              <w:t>Medium</w:t>
            </w:r>
          </w:p>
          <w:p w14:paraId="6D488706" w14:textId="77777777" w:rsidR="002B0C6E" w:rsidRDefault="00000000">
            <w:pPr>
              <w:spacing w:line="240" w:lineRule="auto"/>
              <w:rPr>
                <w:rFonts w:ascii="Rubik" w:eastAsia="Rubik" w:hAnsi="Rubik" w:cs="Rubik"/>
              </w:rPr>
            </w:pPr>
            <w:r>
              <w:rPr>
                <w:rFonts w:ascii="Rubik" w:eastAsia="Rubik" w:hAnsi="Rubik" w:cs="Rubik"/>
                <w:i/>
                <w:iCs/>
                <w:color w:val="000000"/>
              </w:rPr>
              <w:t xml:space="preserve">For example: </w:t>
            </w:r>
            <w:r>
              <w:rPr>
                <w:rFonts w:ascii="Rubik" w:eastAsia="Rubik" w:hAnsi="Rubik" w:cs="Rubik"/>
                <w:color w:val="000000"/>
              </w:rPr>
              <w:t>major injury or harm to one or a few people occurring infrequently, or an injury needing more than first aid.</w:t>
            </w:r>
          </w:p>
        </w:tc>
        <w:tc>
          <w:tcPr>
            <w:tcW w:w="593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1270DF67" w14:textId="77777777" w:rsidR="002B0C6E" w:rsidRDefault="00000000">
            <w:pPr>
              <w:spacing w:line="240" w:lineRule="auto"/>
              <w:rPr>
                <w:rFonts w:ascii="Rubik" w:eastAsia="Rubik" w:hAnsi="Rubik" w:cs="Rubik"/>
              </w:rPr>
            </w:pPr>
            <w:r>
              <w:rPr>
                <w:rFonts w:ascii="Rubik" w:eastAsia="Rubik" w:hAnsi="Rubik" w:cs="Rubik"/>
                <w:color w:val="000000"/>
              </w:rPr>
              <w:t>Requires attention as soon as possible. Add controls to reduce the risk towards Low.</w:t>
            </w:r>
          </w:p>
        </w:tc>
      </w:tr>
      <w:tr w:rsidR="002B0C6E" w14:paraId="732F0966" w14:textId="77777777">
        <w:tc>
          <w:tcPr>
            <w:tcW w:w="8738" w:type="dxa"/>
            <w:tcBorders>
              <w:top w:val="single" w:sz="4" w:space="0" w:color="BFBFBF"/>
              <w:left w:val="single" w:sz="4" w:space="0" w:color="BFBFBF"/>
              <w:bottom w:val="single" w:sz="4" w:space="0" w:color="BFBFBF"/>
              <w:right w:val="single" w:sz="4" w:space="0" w:color="BFBFBF"/>
            </w:tcBorders>
            <w:tcMar>
              <w:top w:w="55" w:type="dxa"/>
              <w:left w:w="110" w:type="dxa"/>
              <w:bottom w:w="55" w:type="dxa"/>
              <w:right w:w="110" w:type="dxa"/>
            </w:tcMar>
          </w:tcPr>
          <w:p w14:paraId="54FCEE19" w14:textId="77777777" w:rsidR="002B0C6E" w:rsidRDefault="00000000">
            <w:pPr>
              <w:spacing w:after="40" w:line="240" w:lineRule="auto"/>
              <w:rPr>
                <w:rFonts w:ascii="Rubik" w:eastAsia="Rubik" w:hAnsi="Rubik" w:cs="Rubik"/>
              </w:rPr>
            </w:pPr>
            <w:r>
              <w:rPr>
                <w:rFonts w:ascii="Rubik" w:eastAsia="Rubik" w:hAnsi="Rubik" w:cs="Rubik"/>
                <w:b/>
                <w:bCs/>
                <w:color w:val="2E7D32"/>
              </w:rPr>
              <w:t>Low</w:t>
            </w:r>
          </w:p>
          <w:p w14:paraId="064726C1" w14:textId="77777777" w:rsidR="002B0C6E" w:rsidRDefault="00000000">
            <w:pPr>
              <w:spacing w:line="240" w:lineRule="auto"/>
              <w:rPr>
                <w:rFonts w:ascii="Rubik" w:eastAsia="Rubik" w:hAnsi="Rubik" w:cs="Rubik"/>
              </w:rPr>
            </w:pPr>
            <w:r>
              <w:rPr>
                <w:rFonts w:ascii="Rubik" w:eastAsia="Rubik" w:hAnsi="Rubik" w:cs="Rubik"/>
                <w:i/>
                <w:iCs/>
                <w:color w:val="000000"/>
              </w:rPr>
              <w:t xml:space="preserve">For example: </w:t>
            </w:r>
            <w:r>
              <w:rPr>
                <w:rFonts w:ascii="Rubik" w:eastAsia="Rubik" w:hAnsi="Rubik" w:cs="Rubik"/>
                <w:color w:val="000000"/>
              </w:rPr>
              <w:t>Minor</w:t>
            </w:r>
            <w:r>
              <w:rPr>
                <w:rFonts w:ascii="Rubik" w:eastAsia="Rubik" w:hAnsi="Rubik" w:cs="Rubik"/>
                <w:i/>
                <w:iCs/>
                <w:color w:val="000000"/>
              </w:rPr>
              <w:t xml:space="preserve"> </w:t>
            </w:r>
            <w:r>
              <w:rPr>
                <w:rFonts w:ascii="Rubik" w:eastAsia="Rubik" w:hAnsi="Rubik" w:cs="Rubik"/>
                <w:color w:val="000000"/>
              </w:rPr>
              <w:t>harm or</w:t>
            </w:r>
            <w:r>
              <w:rPr>
                <w:rFonts w:ascii="Rubik" w:eastAsia="Rubik" w:hAnsi="Rubik" w:cs="Rubik"/>
                <w:i/>
                <w:iCs/>
                <w:color w:val="000000"/>
              </w:rPr>
              <w:t xml:space="preserve"> </w:t>
            </w:r>
            <w:r>
              <w:rPr>
                <w:rFonts w:ascii="Rubik" w:eastAsia="Rubik" w:hAnsi="Rubik" w:cs="Rubik"/>
                <w:color w:val="000000"/>
              </w:rPr>
              <w:t>injury occurring infrequently to a few people.</w:t>
            </w:r>
          </w:p>
        </w:tc>
        <w:tc>
          <w:tcPr>
            <w:tcW w:w="593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72A65C47" w14:textId="77777777" w:rsidR="002B0C6E" w:rsidRDefault="00000000">
            <w:pPr>
              <w:spacing w:line="240" w:lineRule="auto"/>
              <w:rPr>
                <w:rFonts w:ascii="Rubik" w:eastAsia="Rubik" w:hAnsi="Rubik" w:cs="Rubik"/>
              </w:rPr>
            </w:pPr>
            <w:r>
              <w:rPr>
                <w:rFonts w:ascii="Rubik" w:eastAsia="Rubik" w:hAnsi="Rubik" w:cs="Rubik"/>
                <w:color w:val="000000"/>
              </w:rPr>
              <w:t>Not a priority. Maintain existing controls</w:t>
            </w:r>
            <w:r>
              <w:rPr>
                <w:rFonts w:ascii="Rubik" w:eastAsia="Rubik" w:hAnsi="Rubik" w:cs="Rubik"/>
              </w:rPr>
              <w:t>.</w:t>
            </w:r>
            <w:r>
              <w:rPr>
                <w:rFonts w:ascii="Rubik" w:eastAsia="Rubik" w:hAnsi="Rubik" w:cs="Rubik"/>
                <w:color w:val="000000"/>
              </w:rPr>
              <w:t xml:space="preserve"> </w:t>
            </w:r>
            <w:r>
              <w:rPr>
                <w:rFonts w:ascii="Rubik" w:eastAsia="Rubik" w:hAnsi="Rubik" w:cs="Rubik"/>
              </w:rPr>
              <w:t>A</w:t>
            </w:r>
            <w:r>
              <w:rPr>
                <w:rFonts w:ascii="Rubik" w:eastAsia="Rubik" w:hAnsi="Rubik" w:cs="Rubik"/>
                <w:color w:val="000000"/>
              </w:rPr>
              <w:t>ct if the risk is not already as low as is reasonably practicable.</w:t>
            </w:r>
          </w:p>
        </w:tc>
      </w:tr>
    </w:tbl>
    <w:p w14:paraId="6E8886C3" w14:textId="77777777" w:rsidR="002B0C6E" w:rsidRDefault="002B0C6E">
      <w:pPr>
        <w:spacing w:after="200"/>
        <w:rPr>
          <w:rFonts w:ascii="Rubik" w:eastAsia="Rubik" w:hAnsi="Rubik" w:cs="Rubik"/>
          <w:i/>
          <w:iCs/>
        </w:rPr>
      </w:pPr>
    </w:p>
    <w:p w14:paraId="06A6D8A9" w14:textId="77777777" w:rsidR="002B0C6E" w:rsidRDefault="002B0C6E">
      <w:pPr>
        <w:spacing w:after="200"/>
        <w:rPr>
          <w:rFonts w:ascii="Rubik" w:eastAsia="Rubik" w:hAnsi="Rubik" w:cs="Rubik"/>
          <w:i/>
          <w:iCs/>
        </w:rPr>
      </w:pPr>
    </w:p>
    <w:p w14:paraId="49D27B93" w14:textId="77777777" w:rsidR="002B0C6E" w:rsidRDefault="002B0C6E">
      <w:pPr>
        <w:spacing w:after="200"/>
        <w:rPr>
          <w:rFonts w:ascii="Rubik" w:eastAsia="Rubik" w:hAnsi="Rubik" w:cs="Rubik"/>
          <w:highlight w:val="green"/>
        </w:rPr>
      </w:pPr>
    </w:p>
    <w:sectPr w:rsidR="002B0C6E">
      <w:headerReference w:type="even" r:id="rId16"/>
      <w:headerReference w:type="default" r:id="rId17"/>
      <w:footerReference w:type="even" r:id="rId18"/>
      <w:footerReference w:type="default" r:id="rId19"/>
      <w:headerReference w:type="first" r:id="rId20"/>
      <w:footerReference w:type="first" r:id="rId21"/>
      <w:pgSz w:w="16838" w:h="11906" w:orient="landscape"/>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EB5C2" w14:textId="77777777" w:rsidR="00A96E21" w:rsidRDefault="00A96E21">
      <w:pPr>
        <w:spacing w:line="240" w:lineRule="auto"/>
      </w:pPr>
      <w:r>
        <w:separator/>
      </w:r>
    </w:p>
  </w:endnote>
  <w:endnote w:type="continuationSeparator" w:id="0">
    <w:p w14:paraId="2E889830" w14:textId="77777777" w:rsidR="00A96E21" w:rsidRDefault="00A96E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372D194-7CAB-2E47-A25B-5961E60C8D47}"/>
    <w:embedBold r:id="rId2" w:fontKey="{437E7585-CD02-BA48-9D50-243BBD69D8F5}"/>
    <w:embedItalic r:id="rId3" w:fontKey="{E0023078-F388-7648-8469-9615F178A777}"/>
  </w:font>
  <w:font w:name="Times New Roman">
    <w:panose1 w:val="02020603050405020304"/>
    <w:charset w:val="00"/>
    <w:family w:val="roman"/>
    <w:pitch w:val="variable"/>
    <w:sig w:usb0="E0002EFF" w:usb1="C000785B" w:usb2="00000009" w:usb3="00000000" w:csb0="000001FF" w:csb1="00000000"/>
    <w:embedRegular r:id="rId4" w:fontKey="{3E61E989-172F-0541-8AD3-E4143C35E458}"/>
  </w:font>
  <w:font w:name="Rubik">
    <w:panose1 w:val="020B0604020202020204"/>
    <w:charset w:val="B1"/>
    <w:family w:val="auto"/>
    <w:pitch w:val="variable"/>
    <w:sig w:usb0="A0002A6F" w:usb1="C000205B" w:usb2="00000000" w:usb3="00000000" w:csb0="000000F7" w:csb1="00000000"/>
    <w:embedRegular r:id="rId5" w:fontKey="{357D24BB-70E5-DF47-8A24-F377FA8B2BA0}"/>
    <w:embedBold r:id="rId6" w:fontKey="{A9C20B65-A4E8-6648-B968-D70048E0F2C5}"/>
    <w:embedItalic r:id="rId7" w:fontKey="{B2AB2CEE-9C27-294E-956C-CF21B90A2D59}"/>
    <w:embedBoldItalic r:id="rId8" w:fontKey="{54A3A69B-1CD4-AA48-8068-AE894F39E62F}"/>
  </w:font>
  <w:font w:name="Calibri">
    <w:panose1 w:val="020F0502020204030204"/>
    <w:charset w:val="00"/>
    <w:family w:val="swiss"/>
    <w:pitch w:val="variable"/>
    <w:sig w:usb0="E4002EFF" w:usb1="C200247B" w:usb2="00000009" w:usb3="00000000" w:csb0="000001FF" w:csb1="00000000"/>
    <w:embedRegular r:id="rId9" w:fontKey="{44901F9C-E57A-D54A-8BD6-4FFBB0A28005}"/>
  </w:font>
  <w:font w:name="Cambria">
    <w:panose1 w:val="02040503050406030204"/>
    <w:charset w:val="00"/>
    <w:family w:val="roman"/>
    <w:pitch w:val="variable"/>
    <w:sig w:usb0="E00006FF" w:usb1="420024FF" w:usb2="02000000" w:usb3="00000000" w:csb0="0000019F" w:csb1="00000000"/>
    <w:embedRegular r:id="rId10" w:fontKey="{CDA5CBE5-CB6D-8643-870A-4AC1BA8681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DD61" w14:textId="77777777" w:rsidR="002B0C6E" w:rsidRDefault="00000000">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DFC9A66" w14:textId="77777777" w:rsidR="002B0C6E" w:rsidRDefault="002B0C6E">
    <w:pPr>
      <w:pBdr>
        <w:top w:val="nil"/>
        <w:left w:val="nil"/>
        <w:bottom w:val="nil"/>
        <w:right w:val="nil"/>
        <w:between w:val="nil"/>
      </w:pBdr>
      <w:tabs>
        <w:tab w:val="center" w:pos="4513"/>
        <w:tab w:val="right" w:pos="9026"/>
      </w:tabs>
      <w:spacing w:line="240" w:lineRule="auto"/>
      <w:jc w:val="center"/>
      <w:rPr>
        <w:color w:val="000000"/>
      </w:rPr>
    </w:pPr>
  </w:p>
  <w:p w14:paraId="2EBBEB76" w14:textId="77777777" w:rsidR="002B0C6E" w:rsidRDefault="002B0C6E">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4823" w14:textId="77777777" w:rsidR="002B0C6E" w:rsidRDefault="002B0C6E">
    <w:pPr>
      <w:pBdr>
        <w:top w:val="nil"/>
        <w:left w:val="nil"/>
        <w:bottom w:val="nil"/>
        <w:right w:val="nil"/>
        <w:between w:val="nil"/>
      </w:pBdr>
      <w:tabs>
        <w:tab w:val="center" w:pos="4513"/>
        <w:tab w:val="right" w:pos="9026"/>
      </w:tabs>
      <w:spacing w:line="240" w:lineRule="auto"/>
      <w:jc w:val="center"/>
      <w:rPr>
        <w:color w:val="000000"/>
      </w:rPr>
    </w:pPr>
  </w:p>
  <w:p w14:paraId="05124BF2" w14:textId="77777777" w:rsidR="002B0C6E" w:rsidRDefault="00000000">
    <w:pPr>
      <w:pBdr>
        <w:top w:val="nil"/>
        <w:left w:val="nil"/>
        <w:bottom w:val="nil"/>
        <w:right w:val="nil"/>
        <w:between w:val="nil"/>
      </w:pBdr>
      <w:tabs>
        <w:tab w:val="center" w:pos="4513"/>
        <w:tab w:val="right" w:pos="9026"/>
      </w:tabs>
      <w:spacing w:line="240" w:lineRule="auto"/>
      <w:jc w:val="center"/>
      <w:rPr>
        <w:color w:val="000000"/>
      </w:rPr>
    </w:pPr>
    <w:r>
      <w:rPr>
        <w:noProof/>
      </w:rPr>
      <w:drawing>
        <wp:anchor distT="0" distB="0" distL="114300" distR="114300" simplePos="0" relativeHeight="251658240" behindDoc="0" locked="0" layoutInCell="1" hidden="0" allowOverlap="1" wp14:anchorId="49846769" wp14:editId="77801390">
          <wp:simplePos x="0" y="0"/>
          <wp:positionH relativeFrom="column">
            <wp:posOffset>-279397</wp:posOffset>
          </wp:positionH>
          <wp:positionV relativeFrom="paragraph">
            <wp:posOffset>-56512</wp:posOffset>
          </wp:positionV>
          <wp:extent cx="1197610" cy="618490"/>
          <wp:effectExtent l="0" t="0" r="0" b="0"/>
          <wp:wrapSquare wrapText="bothSides" distT="0" distB="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97610" cy="618490"/>
                  </a:xfrm>
                  <a:prstGeom prst="rect">
                    <a:avLst/>
                  </a:prstGeom>
                  <a:ln/>
                </pic:spPr>
              </pic:pic>
            </a:graphicData>
          </a:graphic>
        </wp:anchor>
      </w:drawing>
    </w:r>
  </w:p>
  <w:p w14:paraId="29F8459A" w14:textId="77777777" w:rsidR="002B0C6E" w:rsidRDefault="00000000">
    <w:pPr>
      <w:pBdr>
        <w:top w:val="nil"/>
        <w:left w:val="nil"/>
        <w:bottom w:val="nil"/>
        <w:right w:val="nil"/>
        <w:between w:val="nil"/>
      </w:pBdr>
      <w:tabs>
        <w:tab w:val="center" w:pos="4513"/>
        <w:tab w:val="right" w:pos="9026"/>
        <w:tab w:val="left" w:pos="502"/>
        <w:tab w:val="right" w:pos="9746"/>
      </w:tabs>
      <w:spacing w:line="240" w:lineRule="auto"/>
      <w:rPr>
        <w:color w:val="000000"/>
      </w:rPr>
    </w:pPr>
    <w:r>
      <w:rPr>
        <w:color w:val="000000"/>
      </w:rPr>
      <w:tab/>
    </w:r>
    <w:r>
      <w:rPr>
        <w:color w:val="000000"/>
      </w:rPr>
      <w:tab/>
    </w:r>
    <w:r>
      <w:rPr>
        <w:color w:val="000000"/>
      </w:rPr>
      <w:tab/>
    </w:r>
    <w:r>
      <w:rPr>
        <w:noProof/>
      </w:rPr>
      <w:drawing>
        <wp:anchor distT="0" distB="0" distL="114300" distR="114300" simplePos="0" relativeHeight="251659264" behindDoc="0" locked="0" layoutInCell="1" hidden="0" allowOverlap="1" wp14:anchorId="077B7526" wp14:editId="2649F3C5">
          <wp:simplePos x="0" y="0"/>
          <wp:positionH relativeFrom="column">
            <wp:posOffset>8157845</wp:posOffset>
          </wp:positionH>
          <wp:positionV relativeFrom="paragraph">
            <wp:posOffset>86360</wp:posOffset>
          </wp:positionV>
          <wp:extent cx="1393825" cy="24765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93825" cy="24765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BA3E" w14:textId="77777777" w:rsidR="002B0C6E" w:rsidRDefault="002B0C6E">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AA57" w14:textId="77777777" w:rsidR="00A96E21" w:rsidRDefault="00A96E21">
      <w:pPr>
        <w:spacing w:line="240" w:lineRule="auto"/>
      </w:pPr>
      <w:r>
        <w:separator/>
      </w:r>
    </w:p>
  </w:footnote>
  <w:footnote w:type="continuationSeparator" w:id="0">
    <w:p w14:paraId="32F33762" w14:textId="77777777" w:rsidR="00A96E21" w:rsidRDefault="00A96E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C54A" w14:textId="77777777" w:rsidR="002B0C6E" w:rsidRDefault="002B0C6E">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C73B" w14:textId="77777777" w:rsidR="002B0C6E" w:rsidRDefault="002B0C6E">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0D33" w14:textId="77777777" w:rsidR="002B0C6E" w:rsidRDefault="002B0C6E">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C6E"/>
    <w:rsid w:val="002B0C6E"/>
    <w:rsid w:val="00A36523"/>
    <w:rsid w:val="00A96E21"/>
    <w:rsid w:val="00D64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35BC4"/>
  <w15:docId w15:val="{4DB6CF59-0641-B84C-B8DD-858C0B86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A36523"/>
    <w:rPr>
      <w:color w:val="0000FF" w:themeColor="hyperlink"/>
      <w:u w:val="single"/>
    </w:rPr>
  </w:style>
  <w:style w:type="character" w:styleId="UnresolvedMention">
    <w:name w:val="Unresolved Mention"/>
    <w:basedOn w:val="DefaultParagraphFont"/>
    <w:uiPriority w:val="99"/>
    <w:semiHidden/>
    <w:unhideWhenUsed/>
    <w:rsid w:val="00A36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mnygroup.co.uk/contact/" TargetMode="External"/><Relationship Id="rId13" Type="http://schemas.openxmlformats.org/officeDocument/2006/relationships/hyperlink" Target="https://www.breathehr.com/en-gb/sign-up?utm_source=stress+risk+assessment+template&amp;utm_medium=doc&amp;utm_campaign=health-and-safety"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omnygroup.co.uk/" TargetMode="External"/><Relationship Id="rId12" Type="http://schemas.openxmlformats.org/officeDocument/2006/relationships/hyperlink" Target="https://www.breathehr.com/en-gb/sign-up?utm_source=stress+risk+assessment+template&amp;utm_medium=doc&amp;utm_campaign=health-and-safety"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hse.gov.uk/" TargetMode="External"/><Relationship Id="rId5" Type="http://schemas.openxmlformats.org/officeDocument/2006/relationships/footnotes" Target="footnotes.xml"/><Relationship Id="rId15" Type="http://schemas.openxmlformats.org/officeDocument/2006/relationships/hyperlink" Target="https://omnygroup.co.uk/contact/?utm_source=Breathe+stress+risk+assessment+template&amp;utm_medium=doc&amp;utm_campaign=health-and-safety" TargetMode="External"/><Relationship Id="rId23" Type="http://schemas.openxmlformats.org/officeDocument/2006/relationships/theme" Target="theme/theme1.xml"/><Relationship Id="rId10" Type="http://schemas.openxmlformats.org/officeDocument/2006/relationships/hyperlink" Target="https://www.legislation.gov.uk/uksi/1999/3242/content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legislation.gov.uk/ukpga/1974/37/contents" TargetMode="External"/><Relationship Id="rId14" Type="http://schemas.openxmlformats.org/officeDocument/2006/relationships/hyperlink" Target="https://omnygroup.co.uk/contact/?utm_source=Breathe+stress+risk+assessment+template&amp;utm_medium=doc&amp;utm_campaign=health-and-safety"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0jPxKiNpcpPhckm5lKe08xsC/g==">CgMxLjA4AHIhMVJuTXJ3c2QtQXF0RWsySFlFT3JZcy1qZldmdmgxbUN3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1033</Words>
  <Characters>5615</Characters>
  <Application>Microsoft Office Word</Application>
  <DocSecurity>0</DocSecurity>
  <Lines>267</Lines>
  <Paragraphs>107</Paragraphs>
  <ScaleCrop>false</ScaleCrop>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Daisy Andrews</cp:lastModifiedBy>
  <cp:revision>2</cp:revision>
  <dcterms:created xsi:type="dcterms:W3CDTF">2026-08-12T16:06:00Z</dcterms:created>
  <dcterms:modified xsi:type="dcterms:W3CDTF">2026-08-12T16:09:00Z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0x010100D35DAACF2A86614D8ECC55F055E639F0</vt:lpwstr>
  </property>
  <property fmtid="{D5CDD505-2E9C-101B-9397-08002B2CF9AE}" pid="3" name="MediaServiceImageTags">
    <vt:lpwstr>MediaServiceImageTags</vt:lpwstr>
  </property>
</Properties>
</file>