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ackground w:color="FFFFFF"/>
  <w:body>
    <w:p w:rsidR="00161FDA" w:rsidRDefault="00161FDA" w14:paraId="71C14ADF" w14:textId="3AC65577">
      <w:pPr>
        <w:spacing w:after="200"/>
        <w:rPr>
          <w:rFonts w:ascii="Rubik" w:hAnsi="Rubik" w:eastAsia="Verdana" w:cs="Rubik"/>
          <w:b/>
          <w:sz w:val="32"/>
          <w:szCs w:val="32"/>
        </w:rPr>
      </w:pPr>
      <w:r w:rsidRPr="00161FDA">
        <w:rPr>
          <w:rFonts w:ascii="Rubik" w:hAnsi="Rubik" w:eastAsia="Verdana" w:cs="Rubik"/>
          <w:b/>
          <w:bCs/>
          <w:noProof/>
          <w:sz w:val="32"/>
          <w:szCs w:val="32"/>
        </w:rPr>
        <mc:AlternateContent>
          <mc:Choice Requires="wps">
            <w:drawing>
              <wp:anchor distT="0" distB="0" distL="114300" distR="114300" simplePos="0" relativeHeight="251659264" behindDoc="0" locked="0" layoutInCell="1" allowOverlap="1" wp14:anchorId="413C44CE" wp14:editId="7988D71A">
                <wp:simplePos x="0" y="0"/>
                <wp:positionH relativeFrom="column">
                  <wp:posOffset>5316</wp:posOffset>
                </wp:positionH>
                <wp:positionV relativeFrom="paragraph">
                  <wp:posOffset>0</wp:posOffset>
                </wp:positionV>
                <wp:extent cx="6143625" cy="733425"/>
                <wp:effectExtent l="0" t="0" r="3175" b="3175"/>
                <wp:wrapNone/>
                <wp:docPr id="391920089" name="Text Box 1"/>
                <wp:cNvGraphicFramePr/>
                <a:graphic xmlns:a="http://schemas.openxmlformats.org/drawingml/2006/main">
                  <a:graphicData uri="http://schemas.microsoft.com/office/word/2010/wordprocessingShape">
                    <wps:wsp>
                      <wps:cNvSpPr txBox="1"/>
                      <wps:spPr>
                        <a:xfrm>
                          <a:off x="0" y="0"/>
                          <a:ext cx="6143625" cy="733425"/>
                        </a:xfrm>
                        <a:prstGeom prst="roundRect">
                          <a:avLst>
                            <a:gd name="adj" fmla="val 28682"/>
                          </a:avLst>
                        </a:prstGeom>
                        <a:solidFill>
                          <a:srgbClr val="003E51"/>
                        </a:solidFill>
                        <a:ln w="6350">
                          <a:noFill/>
                        </a:ln>
                      </wps:spPr>
                      <wps:txbx>
                        <w:txbxContent>
                          <w:p w:rsidRPr="00161FDA" w:rsidR="00161FDA" w:rsidP="00161FDA" w:rsidRDefault="00161FDA" w14:paraId="0D836246" w14:textId="722D3B44">
                            <w:pPr>
                              <w:spacing w:line="240" w:lineRule="auto"/>
                              <w:jc w:val="center"/>
                              <w:rPr>
                                <w:rFonts w:ascii="Rubik" w:hAnsi="Rubik" w:eastAsia="Verdana" w:cs="Rubik"/>
                                <w:b/>
                                <w:bCs/>
                                <w:color w:val="FFFFFF" w:themeColor="background1"/>
                                <w:sz w:val="36"/>
                                <w:szCs w:val="36"/>
                                <w:lang w:val="en-GB"/>
                              </w:rPr>
                            </w:pPr>
                            <w:r w:rsidRPr="00161FDA">
                              <w:rPr>
                                <w:rFonts w:ascii="Rubik" w:hAnsi="Rubik" w:eastAsia="Verdana" w:cs="Rubik"/>
                                <w:b/>
                                <w:bCs/>
                                <w:color w:val="FFFFFF" w:themeColor="background1"/>
                                <w:sz w:val="36"/>
                                <w:szCs w:val="36"/>
                                <w:lang w:val="en-GB"/>
                              </w:rPr>
                              <w:t>Checklist: Redundancy transition and outplacement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 style="position:absolute;margin-left:.4pt;margin-top:0;width:483.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3e51" stroked="f" strokeweight=".5pt" arcsize="18796f" w14:anchorId="413C44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">
                <v:textbox>
                  <w:txbxContent>
                    <w:p w:rsidRPr="00161FDA" w:rsidR="00161FDA" w:rsidP="00161FDA" w:rsidRDefault="00161FDA" w14:paraId="0D836246" w14:textId="722D3B44">
                      <w:pPr>
                        <w:spacing w:line="240" w:lineRule="auto"/>
                        <w:jc w:val="center"/>
                        <w:rPr>
                          <w:rFonts w:ascii="Rubik" w:hAnsi="Rubik" w:eastAsia="Verdana" w:cs="Rubik"/>
                          <w:b/>
                          <w:bCs/>
                          <w:color w:val="FFFFFF" w:themeColor="background1"/>
                          <w:sz w:val="36"/>
                          <w:szCs w:val="36"/>
                          <w:lang w:val="en-GB"/>
                        </w:rPr>
                      </w:pPr>
                      <w:r w:rsidRPr="00161FDA">
                        <w:rPr>
                          <w:rFonts w:ascii="Rubik" w:hAnsi="Rubik" w:eastAsia="Verdana" w:cs="Rubik"/>
                          <w:b/>
                          <w:bCs/>
                          <w:color w:val="FFFFFF" w:themeColor="background1"/>
                          <w:sz w:val="36"/>
                          <w:szCs w:val="36"/>
                          <w:lang w:val="en-GB"/>
                        </w:rPr>
                        <w:t>Checklist: Redundancy transition and outplacement support</w:t>
                      </w:r>
                    </w:p>
                  </w:txbxContent>
                </v:textbox>
              </v:roundrect>
            </w:pict>
          </mc:Fallback>
        </mc:AlternateContent>
      </w:r>
    </w:p>
    <w:p w:rsidR="00161FDA" w:rsidRDefault="00161FDA" w14:paraId="192209C4" w14:textId="77777777">
      <w:pPr>
        <w:spacing w:after="200"/>
        <w:rPr>
          <w:rFonts w:ascii="Rubik" w:hAnsi="Rubik" w:eastAsia="Verdana" w:cs="Rubik"/>
          <w:b/>
          <w:sz w:val="32"/>
          <w:szCs w:val="32"/>
        </w:rPr>
      </w:pPr>
    </w:p>
    <w:p w:rsidR="00161FDA" w:rsidRDefault="00161FDA" w14:paraId="4BA49DF1" w14:textId="0BD31D8A">
      <w:pPr>
        <w:spacing w:after="200"/>
        <w:rPr>
          <w:rFonts w:ascii="Rubik" w:hAnsi="Rubik" w:eastAsia="Verdana" w:cs="Rubik"/>
          <w:b/>
          <w:sz w:val="32"/>
          <w:szCs w:val="32"/>
        </w:rPr>
      </w:pPr>
      <w:r w:rsidRPr="00161FDA">
        <w:rPr>
          <w:rFonts w:ascii="Rubik" w:hAnsi="Rubik" w:eastAsia="Verdana" w:cs="Rubik"/>
          <w:b/>
          <w:i/>
          <w:noProof/>
          <w:sz w:val="32"/>
          <w:szCs w:val="32"/>
        </w:rPr>
        <mc:AlternateContent>
          <mc:Choice Requires="wps">
            <w:drawing>
              <wp:anchor distT="0" distB="0" distL="114300" distR="114300" simplePos="0" relativeHeight="251660288" behindDoc="0" locked="0" layoutInCell="1" allowOverlap="1" wp14:anchorId="6920430E" wp14:editId="7AF81A00">
                <wp:simplePos x="0" y="0"/>
                <wp:positionH relativeFrom="margin">
                  <wp:align>left</wp:align>
                </wp:positionH>
                <wp:positionV relativeFrom="paragraph">
                  <wp:posOffset>220980</wp:posOffset>
                </wp:positionV>
                <wp:extent cx="6143625" cy="1419225"/>
                <wp:effectExtent l="0" t="0" r="28575" b="28575"/>
                <wp:wrapNone/>
                <wp:docPr id="1432679685" name="Text Box 3"/>
                <wp:cNvGraphicFramePr/>
                <a:graphic xmlns:a="http://schemas.openxmlformats.org/drawingml/2006/main">
                  <a:graphicData uri="http://schemas.microsoft.com/office/word/2010/wordprocessingShape">
                    <wps:wsp>
                      <wps:cNvSpPr txBox="1"/>
                      <wps:spPr>
                        <a:xfrm>
                          <a:off x="0" y="0"/>
                          <a:ext cx="6143625" cy="1419225"/>
                        </a:xfrm>
                        <a:prstGeom prst="roundRect">
                          <a:avLst/>
                        </a:prstGeom>
                        <a:noFill/>
                        <a:ln w="6350">
                          <a:solidFill>
                            <a:srgbClr val="232323"/>
                          </a:solidFill>
                        </a:ln>
                      </wps:spPr>
                      <wps:txbx>
                        <w:txbxContent>
                          <w:p w:rsidRPr="009E322A" w:rsidR="00161FDA" w:rsidP="00161FDA" w:rsidRDefault="009E322A" w14:paraId="47C5DA89" w14:textId="13D964DC">
                            <w:pPr>
                              <w:rPr>
                                <w:rFonts w:ascii="Rubik" w:hAnsi="Rubik" w:eastAsia="Verdana" w:cs="Rubik"/>
                                <w:i/>
                                <w:iCs/>
                                <w:color w:val="232323"/>
                                <w:lang w:val="en-US"/>
                              </w:rPr>
                            </w:pPr>
                            <w:r w:rsidRPr="009E322A">
                              <w:rPr>
                                <w:rFonts w:hint="cs" w:ascii="Rubik" w:hAnsi="Rubik" w:eastAsia="Verdana" w:cs="Rubik"/>
                                <w:i/>
                                <w:iCs/>
                                <w:color w:val="232323"/>
                                <w:lang w:val="en-US"/>
                              </w:rPr>
                              <w:t xml:space="preserve">This resource was created in partnership with </w:t>
                            </w:r>
                            <w:hyperlink w:history="1" r:id="rId10">
                              <w:r w:rsidRPr="009E322A">
                                <w:rPr>
                                  <w:rStyle w:val="Hyperlink"/>
                                  <w:rFonts w:hint="cs" w:ascii="Rubik" w:hAnsi="Rubik" w:eastAsia="Verdana" w:cs="Rubik"/>
                                  <w:i/>
                                  <w:iCs/>
                                  <w:lang w:val="en-US"/>
                                </w:rPr>
                                <w:t>Lynn Burman</w:t>
                              </w:r>
                            </w:hyperlink>
                            <w:r w:rsidRPr="009E322A">
                              <w:rPr>
                                <w:rFonts w:hint="cs" w:ascii="Rubik" w:hAnsi="Rubik" w:eastAsia="Verdana" w:cs="Rubik"/>
                                <w:i/>
                                <w:iCs/>
                                <w:color w:val="232323"/>
                                <w:lang w:val="en-US"/>
                              </w:rPr>
                              <w:t xml:space="preserve">, Commercial Director at </w:t>
                            </w:r>
                            <w:hyperlink w:history="1" r:id="rId11">
                              <w:r w:rsidRPr="009E322A">
                                <w:rPr>
                                  <w:rStyle w:val="Hyperlink"/>
                                  <w:rFonts w:hint="cs" w:ascii="Rubik" w:hAnsi="Rubik" w:eastAsia="Verdana" w:cs="Rubik"/>
                                  <w:i/>
                                  <w:iCs/>
                                  <w:lang w:val="en-US"/>
                                </w:rPr>
                                <w:t>Clover HR</w:t>
                              </w:r>
                            </w:hyperlink>
                            <w:r w:rsidRPr="009E322A">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2">
                              <w:proofErr w:type="spellStart"/>
                              <w:r w:rsidRPr="009E322A">
                                <w:rPr>
                                  <w:rStyle w:val="Hyperlink"/>
                                  <w:rFonts w:hint="cs" w:ascii="Rubik" w:hAnsi="Rubik" w:eastAsia="Verdana" w:cs="Rubik"/>
                                  <w:i/>
                                  <w:iCs/>
                                  <w:lang w:val="en-US"/>
                                </w:rPr>
                                <w:t>Acas</w:t>
                              </w:r>
                              <w:proofErr w:type="spellEnd"/>
                            </w:hyperlink>
                            <w:r w:rsidRPr="009E322A">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3">
                              <w:r w:rsidRPr="009E322A">
                                <w:rPr>
                                  <w:rStyle w:val="Hyperlink"/>
                                  <w:rFonts w:hint="cs" w:ascii="Rubik" w:hAnsi="Rubik" w:eastAsia="Verdana" w:cs="Rubik"/>
                                  <w:i/>
                                  <w:iCs/>
                                  <w:lang w:val="en-US"/>
                                </w:rPr>
                                <w:t>get in touch with Clover HR here</w:t>
                              </w:r>
                            </w:hyperlink>
                            <w:r w:rsidRPr="009E322A">
                              <w:rPr>
                                <w:rFonts w:hint="cs" w:ascii="Rubik" w:hAnsi="Rubik" w:eastAsia="Verdana" w:cs="Rubik"/>
                                <w:i/>
                                <w:iCs/>
                                <w:color w:val="232323"/>
                                <w:lang w:val="en-US"/>
                              </w:rPr>
                              <w:t xml:space="preserve"> or find additional support through our </w:t>
                            </w:r>
                            <w:hyperlink w:history="1" r:id="rId14">
                              <w:r w:rsidRPr="009E322A">
                                <w:rPr>
                                  <w:rStyle w:val="Hyperlink"/>
                                  <w:rFonts w:hint="cs" w:ascii="Rubik" w:hAnsi="Rubik" w:eastAsia="Verdana" w:cs="Rubik"/>
                                  <w:i/>
                                  <w:iCs/>
                                  <w:lang w:val="en-US"/>
                                </w:rPr>
                                <w:t>Partner Directory</w:t>
                              </w:r>
                            </w:hyperlink>
                            <w:r w:rsidRPr="009E322A">
                              <w:rPr>
                                <w:rFonts w:hint="cs" w:ascii="Rubik" w:hAnsi="Rubik" w:eastAsia="Verdana" w:cs="Rubik"/>
                                <w:i/>
                                <w:iCs/>
                                <w:color w:val="232323"/>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style="position:absolute;margin-left:0;margin-top:17.4pt;width:483.7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color="#232323" strokeweight=".5pt" arcsize="10923f" w14:anchorId="69204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">
                <v:textbox>
                  <w:txbxContent>
                    <w:p w:rsidRPr="009E322A" w:rsidR="00161FDA" w:rsidP="00161FDA" w:rsidRDefault="009E322A" w14:paraId="47C5DA89" w14:textId="13D964DC">
                      <w:pPr>
                        <w:rPr>
                          <w:rFonts w:ascii="Rubik" w:hAnsi="Rubik" w:eastAsia="Verdana" w:cs="Rubik"/>
                          <w:i/>
                          <w:iCs/>
                          <w:color w:val="232323"/>
                          <w:lang w:val="en-US"/>
                        </w:rPr>
                      </w:pPr>
                      <w:r w:rsidRPr="009E322A">
                        <w:rPr>
                          <w:rFonts w:hint="cs" w:ascii="Rubik" w:hAnsi="Rubik" w:eastAsia="Verdana" w:cs="Rubik"/>
                          <w:i/>
                          <w:iCs/>
                          <w:color w:val="232323"/>
                          <w:lang w:val="en-US"/>
                        </w:rPr>
                        <w:t xml:space="preserve">This resource was created in partnership with </w:t>
                      </w:r>
                      <w:hyperlink w:history="1" r:id="rId15">
                        <w:r w:rsidRPr="009E322A">
                          <w:rPr>
                            <w:rStyle w:val="Hyperlink"/>
                            <w:rFonts w:hint="cs" w:ascii="Rubik" w:hAnsi="Rubik" w:eastAsia="Verdana" w:cs="Rubik"/>
                            <w:i/>
                            <w:iCs/>
                            <w:lang w:val="en-US"/>
                          </w:rPr>
                          <w:t>Lynn Burman</w:t>
                        </w:r>
                      </w:hyperlink>
                      <w:r w:rsidRPr="009E322A">
                        <w:rPr>
                          <w:rFonts w:hint="cs" w:ascii="Rubik" w:hAnsi="Rubik" w:eastAsia="Verdana" w:cs="Rubik"/>
                          <w:i/>
                          <w:iCs/>
                          <w:color w:val="232323"/>
                          <w:lang w:val="en-US"/>
                        </w:rPr>
                        <w:t xml:space="preserve">, Commercial Director at </w:t>
                      </w:r>
                      <w:hyperlink w:history="1" r:id="rId16">
                        <w:r w:rsidRPr="009E322A">
                          <w:rPr>
                            <w:rStyle w:val="Hyperlink"/>
                            <w:rFonts w:hint="cs" w:ascii="Rubik" w:hAnsi="Rubik" w:eastAsia="Verdana" w:cs="Rubik"/>
                            <w:i/>
                            <w:iCs/>
                            <w:lang w:val="en-US"/>
                          </w:rPr>
                          <w:t>Clover HR</w:t>
                        </w:r>
                      </w:hyperlink>
                      <w:r w:rsidRPr="009E322A">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7">
                        <w:proofErr w:type="spellStart"/>
                        <w:r w:rsidRPr="009E322A">
                          <w:rPr>
                            <w:rStyle w:val="Hyperlink"/>
                            <w:rFonts w:hint="cs" w:ascii="Rubik" w:hAnsi="Rubik" w:eastAsia="Verdana" w:cs="Rubik"/>
                            <w:i/>
                            <w:iCs/>
                            <w:lang w:val="en-US"/>
                          </w:rPr>
                          <w:t>Acas</w:t>
                        </w:r>
                        <w:proofErr w:type="spellEnd"/>
                      </w:hyperlink>
                      <w:r w:rsidRPr="009E322A">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8">
                        <w:r w:rsidRPr="009E322A">
                          <w:rPr>
                            <w:rStyle w:val="Hyperlink"/>
                            <w:rFonts w:hint="cs" w:ascii="Rubik" w:hAnsi="Rubik" w:eastAsia="Verdana" w:cs="Rubik"/>
                            <w:i/>
                            <w:iCs/>
                            <w:lang w:val="en-US"/>
                          </w:rPr>
                          <w:t>get in touch with Clover HR here</w:t>
                        </w:r>
                      </w:hyperlink>
                      <w:r w:rsidRPr="009E322A">
                        <w:rPr>
                          <w:rFonts w:hint="cs" w:ascii="Rubik" w:hAnsi="Rubik" w:eastAsia="Verdana" w:cs="Rubik"/>
                          <w:i/>
                          <w:iCs/>
                          <w:color w:val="232323"/>
                          <w:lang w:val="en-US"/>
                        </w:rPr>
                        <w:t xml:space="preserve"> or find additional support through our </w:t>
                      </w:r>
                      <w:hyperlink w:history="1" r:id="rId19">
                        <w:r w:rsidRPr="009E322A">
                          <w:rPr>
                            <w:rStyle w:val="Hyperlink"/>
                            <w:rFonts w:hint="cs" w:ascii="Rubik" w:hAnsi="Rubik" w:eastAsia="Verdana" w:cs="Rubik"/>
                            <w:i/>
                            <w:iCs/>
                            <w:lang w:val="en-US"/>
                          </w:rPr>
                          <w:t>Partner Directory</w:t>
                        </w:r>
                      </w:hyperlink>
                      <w:r w:rsidRPr="009E322A">
                        <w:rPr>
                          <w:rFonts w:hint="cs" w:ascii="Rubik" w:hAnsi="Rubik" w:eastAsia="Verdana" w:cs="Rubik"/>
                          <w:i/>
                          <w:iCs/>
                          <w:color w:val="232323"/>
                          <w:lang w:val="en-US"/>
                        </w:rPr>
                        <w:t xml:space="preserve">.  </w:t>
                      </w:r>
                    </w:p>
                  </w:txbxContent>
                </v:textbox>
                <w10:wrap anchorx="margin"/>
              </v:roundrect>
            </w:pict>
          </mc:Fallback>
        </mc:AlternateContent>
      </w:r>
    </w:p>
    <w:p w:rsidR="00161FDA" w:rsidRDefault="00161FDA" w14:paraId="51E2950A" w14:textId="4FB2722E">
      <w:pPr>
        <w:spacing w:after="200"/>
        <w:rPr>
          <w:rFonts w:ascii="Rubik" w:hAnsi="Rubik" w:eastAsia="Verdana" w:cs="Rubik"/>
          <w:b/>
          <w:sz w:val="32"/>
          <w:szCs w:val="32"/>
        </w:rPr>
      </w:pPr>
    </w:p>
    <w:p w:rsidR="00161FDA" w:rsidRDefault="00161FDA" w14:paraId="4FEBD4B0" w14:textId="77777777">
      <w:pPr>
        <w:spacing w:after="200"/>
        <w:rPr>
          <w:rFonts w:ascii="Rubik" w:hAnsi="Rubik" w:eastAsia="Verdana" w:cs="Rubik"/>
          <w:b/>
          <w:sz w:val="32"/>
          <w:szCs w:val="32"/>
        </w:rPr>
      </w:pPr>
    </w:p>
    <w:p w:rsidR="00161FDA" w:rsidRDefault="00161FDA" w14:paraId="52151265" w14:textId="77777777">
      <w:pPr>
        <w:spacing w:after="200"/>
        <w:rPr>
          <w:rFonts w:ascii="Rubik" w:hAnsi="Rubik" w:eastAsia="Verdana" w:cs="Rubik"/>
          <w:b/>
          <w:sz w:val="32"/>
          <w:szCs w:val="32"/>
        </w:rPr>
      </w:pPr>
    </w:p>
    <w:p w:rsidR="00161FDA" w:rsidP="19682D4E" w:rsidRDefault="00161FDA" w14:paraId="0C53198F" w14:textId="77777777">
      <w:pPr>
        <w:rPr>
          <w:rFonts w:ascii="Rubik" w:hAnsi="Rubik" w:eastAsia="Verdana" w:cs="Rubik"/>
          <w:b/>
          <w:sz w:val="32"/>
          <w:szCs w:val="32"/>
        </w:rPr>
      </w:pPr>
    </w:p>
    <w:p w:rsidRPr="00161FDA" w:rsidR="006C1A83" w:rsidP="19682D4E" w:rsidRDefault="00F75167" w14:paraId="00000005" w14:textId="60893F6D">
      <w:pPr>
        <w:rPr>
          <w:rFonts w:ascii="Rubik" w:hAnsi="Rubik" w:eastAsia="Verdana" w:cs="Rubik"/>
          <w:color w:val="232323"/>
          <w:lang w:val="en-US"/>
        </w:rPr>
      </w:pPr>
      <w:r w:rsidRPr="00161FDA">
        <w:rPr>
          <w:rFonts w:hint="cs" w:ascii="Rubik" w:hAnsi="Rubik" w:eastAsia="Verdana" w:cs="Rubik"/>
          <w:color w:val="232323"/>
          <w:lang w:val="en-US"/>
        </w:rPr>
        <w:t xml:space="preserve">When employees are made redundant, their employers are required to take reasonable steps to help them through the transition and find alternative work. This checklist suggests ways that employers can do so, both before and after the redundancy takes place. </w:t>
      </w:r>
    </w:p>
    <w:p w:rsidRPr="00161FDA" w:rsidR="006C1A83" w:rsidRDefault="006C1A83" w14:paraId="00000006" w14:textId="77777777">
      <w:pPr>
        <w:rPr>
          <w:rFonts w:ascii="Rubik" w:hAnsi="Rubik" w:eastAsia="Verdana" w:cs="Rubik"/>
          <w:color w:val="232323"/>
        </w:rPr>
      </w:pPr>
    </w:p>
    <w:p w:rsidRPr="00161FDA" w:rsidR="006C1A83" w:rsidP="19682D4E" w:rsidRDefault="00F75167" w14:paraId="00000007" w14:textId="77777777">
      <w:pPr>
        <w:spacing w:after="200"/>
        <w:rPr>
          <w:rFonts w:ascii="Rubik" w:hAnsi="Rubik" w:eastAsia="Verdana" w:cs="Rubik"/>
          <w:b/>
          <w:bCs/>
          <w:color w:val="232323"/>
          <w:sz w:val="32"/>
          <w:szCs w:val="32"/>
          <w:lang w:val="en-US"/>
        </w:rPr>
      </w:pPr>
      <w:r w:rsidRPr="00161FDA">
        <w:rPr>
          <w:rFonts w:hint="cs" w:ascii="Rubik" w:hAnsi="Rubik" w:eastAsia="Verdana" w:cs="Rubik"/>
          <w:color w:val="232323"/>
          <w:lang w:val="en-US"/>
        </w:rPr>
        <w:t xml:space="preserve">None of the options this checklist introduces are compulsory, and no employer is required to offer all the support suggested. Nonetheless, these options are effective ways to demonstrate your compliance and provide valuable support to employees facing redundancy. </w:t>
      </w:r>
    </w:p>
    <w:p w:rsidR="00161FDA" w:rsidRDefault="00161FDA" w14:paraId="494123A8" w14:textId="77777777">
      <w:pPr>
        <w:rPr>
          <w:rFonts w:ascii="Rubik" w:hAnsi="Rubik" w:eastAsia="Verdana" w:cs="Rubik"/>
          <w:b/>
          <w:color w:val="232323"/>
          <w:sz w:val="28"/>
          <w:szCs w:val="28"/>
          <w:highlight w:val="cyan"/>
        </w:rPr>
      </w:pPr>
    </w:p>
    <w:p w:rsidRPr="00161FDA" w:rsidR="006C1A83" w:rsidP="00161FDA" w:rsidRDefault="00F75167" w14:paraId="00000008" w14:textId="02426C4B">
      <w:pPr>
        <w:pStyle w:val="ListParagraph"/>
        <w:numPr>
          <w:ilvl w:val="0"/>
          <w:numId w:val="3"/>
        </w:numPr>
        <w:rPr>
          <w:rFonts w:ascii="Rubik" w:hAnsi="Rubik" w:eastAsia="Verdana" w:cs="Rubik"/>
          <w:b/>
          <w:color w:val="1370ED"/>
        </w:rPr>
      </w:pPr>
      <w:r w:rsidRPr="00161FDA">
        <w:rPr>
          <w:rFonts w:hint="cs" w:ascii="Rubik" w:hAnsi="Rubik" w:eastAsia="Verdana" w:cs="Rubik"/>
          <w:b/>
          <w:color w:val="1370ED"/>
          <w:sz w:val="28"/>
          <w:szCs w:val="28"/>
        </w:rPr>
        <w:t>Helping employees during the redundancy process:</w:t>
      </w:r>
    </w:p>
    <w:p w:rsidRPr="00161FDA" w:rsidR="006C1A83" w:rsidRDefault="00F75167" w14:paraId="00000009" w14:textId="77777777">
      <w:pPr>
        <w:spacing w:before="200" w:after="200"/>
        <w:rPr>
          <w:rFonts w:ascii="Rubik" w:hAnsi="Rubik" w:eastAsia="Verdana" w:cs="Rubik"/>
          <w:b/>
          <w:i/>
          <w:color w:val="232323"/>
        </w:rPr>
      </w:pPr>
      <w:r w:rsidRPr="00161FDA">
        <w:rPr>
          <w:rFonts w:hint="cs" w:ascii="Rubik" w:hAnsi="Rubik" w:eastAsia="Verdana" w:cs="Rubik"/>
          <w:i/>
          <w:color w:val="232323"/>
        </w:rPr>
        <w:t xml:space="preserve">While the process is taking place, there are several steps you can take to help and support those employees under consideration for redundancy: </w:t>
      </w:r>
    </w:p>
    <w:p w:rsidRPr="00161FDA" w:rsidR="006C1A83" w:rsidP="19682D4E" w:rsidRDefault="00F75167" w14:paraId="0000000A" w14:textId="77777777">
      <w:pPr>
        <w:numPr>
          <w:ilvl w:val="0"/>
          <w:numId w:val="2"/>
        </w:numPr>
        <w:rPr>
          <w:rFonts w:ascii="Rubik" w:hAnsi="Rubik" w:eastAsia="Verdana" w:cs="Rubik"/>
          <w:color w:val="232323"/>
          <w:lang w:val="en-US"/>
        </w:rPr>
      </w:pPr>
      <w:r w:rsidRPr="00161FDA">
        <w:rPr>
          <w:rFonts w:hint="cs" w:ascii="Rubik" w:hAnsi="Rubik" w:eastAsia="Verdana" w:cs="Rubik"/>
          <w:color w:val="232323"/>
          <w:lang w:val="en-US"/>
        </w:rPr>
        <w:t>Offer support such as financial advisors or counsellors who can help employees going through the redundancy process.</w:t>
      </w:r>
    </w:p>
    <w:p w:rsidRPr="00161FDA" w:rsidR="006C1A83" w:rsidP="19682D4E" w:rsidRDefault="00F75167" w14:paraId="0000000B" w14:textId="77777777">
      <w:pPr>
        <w:numPr>
          <w:ilvl w:val="0"/>
          <w:numId w:val="2"/>
        </w:numPr>
        <w:rPr>
          <w:rFonts w:ascii="Rubik" w:hAnsi="Rubik" w:eastAsia="Verdana" w:cs="Rubik"/>
          <w:color w:val="232323"/>
          <w:lang w:val="en-US"/>
        </w:rPr>
      </w:pPr>
      <w:r w:rsidRPr="00161FDA">
        <w:rPr>
          <w:rFonts w:hint="cs" w:ascii="Rubik" w:hAnsi="Rubik" w:eastAsia="Verdana" w:cs="Rubik"/>
          <w:color w:val="232323"/>
          <w:lang w:val="en-US"/>
        </w:rPr>
        <w:t xml:space="preserve">Designate a clear point-of-contact in the </w:t>
      </w:r>
      <w:proofErr w:type="spellStart"/>
      <w:r w:rsidRPr="00161FDA">
        <w:rPr>
          <w:rFonts w:hint="cs" w:ascii="Rubik" w:hAnsi="Rubik" w:eastAsia="Verdana" w:cs="Rubik"/>
          <w:color w:val="232323"/>
          <w:lang w:val="en-US"/>
        </w:rPr>
        <w:t>organisation</w:t>
      </w:r>
      <w:proofErr w:type="spellEnd"/>
      <w:r w:rsidRPr="00161FDA">
        <w:rPr>
          <w:rFonts w:hint="cs" w:ascii="Rubik" w:hAnsi="Rubik" w:eastAsia="Verdana" w:cs="Rubik"/>
          <w:color w:val="232323"/>
          <w:lang w:val="en-US"/>
        </w:rPr>
        <w:t xml:space="preserve"> who employees can come to for help, questions, guidance and support.</w:t>
      </w:r>
    </w:p>
    <w:p w:rsidRPr="00161FDA" w:rsidR="006C1A83" w:rsidP="19682D4E" w:rsidRDefault="00F75167" w14:paraId="0000000C" w14:textId="77777777">
      <w:pPr>
        <w:numPr>
          <w:ilvl w:val="0"/>
          <w:numId w:val="2"/>
        </w:numPr>
        <w:rPr>
          <w:rFonts w:ascii="Rubik" w:hAnsi="Rubik" w:eastAsia="Verdana" w:cs="Rubik"/>
          <w:color w:val="232323"/>
          <w:lang w:val="en-US"/>
        </w:rPr>
      </w:pPr>
      <w:proofErr w:type="spellStart"/>
      <w:r w:rsidRPr="00161FDA">
        <w:rPr>
          <w:rFonts w:hint="cs" w:ascii="Rubik" w:hAnsi="Rubik" w:eastAsia="Verdana" w:cs="Rubik"/>
          <w:color w:val="232323"/>
          <w:lang w:val="en-US"/>
        </w:rPr>
        <w:t>Organise</w:t>
      </w:r>
      <w:proofErr w:type="spellEnd"/>
      <w:r w:rsidRPr="00161FDA">
        <w:rPr>
          <w:rFonts w:hint="cs" w:ascii="Rubik" w:hAnsi="Rubik" w:eastAsia="Verdana" w:cs="Rubik"/>
          <w:color w:val="232323"/>
          <w:lang w:val="en-US"/>
        </w:rPr>
        <w:t xml:space="preserve"> regular check-ins between ‘at risk’ employees and managers and/or HR representatives, creating a proactive channel of communication.</w:t>
      </w:r>
    </w:p>
    <w:p w:rsidRPr="00161FDA" w:rsidR="006C1A83" w:rsidRDefault="00F75167" w14:paraId="0000000D" w14:textId="77777777">
      <w:pPr>
        <w:numPr>
          <w:ilvl w:val="0"/>
          <w:numId w:val="2"/>
        </w:numPr>
        <w:rPr>
          <w:rFonts w:ascii="Rubik" w:hAnsi="Rubik" w:eastAsia="Verdana" w:cs="Rubik"/>
          <w:color w:val="232323"/>
        </w:rPr>
      </w:pPr>
      <w:r w:rsidRPr="00161FDA">
        <w:rPr>
          <w:rFonts w:hint="cs" w:ascii="Rubik" w:hAnsi="Rubik" w:eastAsia="Verdana" w:cs="Rubik"/>
          <w:color w:val="232323"/>
        </w:rPr>
        <w:t>Provide access to digital learning tools that employees can use to upgrade their skills while the process takes place.</w:t>
      </w:r>
    </w:p>
    <w:p w:rsidRPr="00161FDA" w:rsidR="006C1A83" w:rsidRDefault="00F75167" w14:paraId="0000000E" w14:textId="77777777">
      <w:pPr>
        <w:numPr>
          <w:ilvl w:val="0"/>
          <w:numId w:val="2"/>
        </w:numPr>
        <w:rPr>
          <w:rFonts w:ascii="Rubik" w:hAnsi="Rubik" w:eastAsia="Verdana" w:cs="Rubik"/>
          <w:color w:val="232323"/>
        </w:rPr>
      </w:pPr>
      <w:r w:rsidRPr="00161FDA">
        <w:rPr>
          <w:rFonts w:hint="cs" w:ascii="Rubik" w:hAnsi="Rubik" w:eastAsia="Verdana" w:cs="Rubik"/>
          <w:color w:val="232323"/>
        </w:rPr>
        <w:t>Offer funding for training or certification opportunities.</w:t>
      </w:r>
    </w:p>
    <w:p w:rsidRPr="00161FDA" w:rsidR="006C1A83" w:rsidRDefault="00F75167" w14:paraId="0000000F" w14:textId="77777777">
      <w:pPr>
        <w:numPr>
          <w:ilvl w:val="0"/>
          <w:numId w:val="2"/>
        </w:numPr>
        <w:rPr>
          <w:rFonts w:ascii="Rubik" w:hAnsi="Rubik" w:eastAsia="Verdana" w:cs="Rubik"/>
          <w:color w:val="232323"/>
        </w:rPr>
      </w:pPr>
      <w:r w:rsidRPr="00161FDA">
        <w:rPr>
          <w:rFonts w:hint="cs" w:ascii="Rubik" w:hAnsi="Rubik" w:eastAsia="Verdana" w:cs="Rubik"/>
          <w:color w:val="232323"/>
        </w:rPr>
        <w:t>Enable ‘at risk’ employees to take time off to look for alternative employment.</w:t>
      </w:r>
    </w:p>
    <w:p w:rsidRPr="00161FDA" w:rsidR="006C1A83" w:rsidP="19682D4E" w:rsidRDefault="00F75167" w14:paraId="00000010" w14:textId="77777777">
      <w:pPr>
        <w:numPr>
          <w:ilvl w:val="0"/>
          <w:numId w:val="2"/>
        </w:numPr>
        <w:rPr>
          <w:rFonts w:ascii="Rubik" w:hAnsi="Rubik" w:eastAsia="Verdana" w:cs="Rubik"/>
          <w:color w:val="232323"/>
          <w:lang w:val="en-US"/>
        </w:rPr>
      </w:pPr>
      <w:r w:rsidRPr="00161FDA">
        <w:rPr>
          <w:rFonts w:hint="cs" w:ascii="Rubik" w:hAnsi="Rubik" w:eastAsia="Verdana" w:cs="Rubik"/>
          <w:color w:val="232323"/>
          <w:lang w:val="en-US"/>
        </w:rPr>
        <w:t xml:space="preserve">Explain what additional employment opportunities are available in the </w:t>
      </w:r>
      <w:proofErr w:type="spellStart"/>
      <w:r w:rsidRPr="00161FDA">
        <w:rPr>
          <w:rFonts w:hint="cs" w:ascii="Rubik" w:hAnsi="Rubik" w:eastAsia="Verdana" w:cs="Rubik"/>
          <w:color w:val="232323"/>
          <w:lang w:val="en-US"/>
        </w:rPr>
        <w:t>organisation</w:t>
      </w:r>
      <w:proofErr w:type="spellEnd"/>
      <w:r w:rsidRPr="00161FDA">
        <w:rPr>
          <w:rFonts w:hint="cs" w:ascii="Rubik" w:hAnsi="Rubik" w:eastAsia="Verdana" w:cs="Rubik"/>
          <w:color w:val="232323"/>
          <w:lang w:val="en-US"/>
        </w:rPr>
        <w:t xml:space="preserve"> and what skillsets they may be a good match for.</w:t>
      </w:r>
    </w:p>
    <w:p w:rsidR="00161FDA" w:rsidRDefault="00161FDA" w14:paraId="070ECEA8" w14:textId="77777777">
      <w:pPr>
        <w:spacing w:before="200"/>
        <w:rPr>
          <w:rFonts w:ascii="Rubik" w:hAnsi="Rubik" w:eastAsia="Verdana" w:cs="Rubik"/>
          <w:b/>
          <w:color w:val="232323"/>
          <w:sz w:val="28"/>
          <w:szCs w:val="28"/>
          <w:highlight w:val="cyan"/>
        </w:rPr>
      </w:pPr>
    </w:p>
    <w:p w:rsidRPr="00161FDA" w:rsidR="006C1A83" w:rsidP="00161FDA" w:rsidRDefault="00F75167" w14:paraId="00000011" w14:textId="4ECF702A">
      <w:pPr>
        <w:pStyle w:val="ListParagraph"/>
        <w:numPr>
          <w:ilvl w:val="0"/>
          <w:numId w:val="3"/>
        </w:numPr>
        <w:spacing w:before="200"/>
        <w:rPr>
          <w:rFonts w:ascii="Rubik" w:hAnsi="Rubik" w:eastAsia="Verdana" w:cs="Rubik"/>
          <w:b/>
          <w:color w:val="1370ED"/>
        </w:rPr>
      </w:pPr>
      <w:r w:rsidRPr="00161FDA">
        <w:rPr>
          <w:rFonts w:hint="cs" w:ascii="Rubik" w:hAnsi="Rubik" w:eastAsia="Verdana" w:cs="Rubik"/>
          <w:b/>
          <w:color w:val="1370ED"/>
          <w:sz w:val="28"/>
          <w:szCs w:val="28"/>
        </w:rPr>
        <w:t xml:space="preserve">After redundancies have been confirmed: </w:t>
      </w:r>
    </w:p>
    <w:p w:rsidRPr="00161FDA" w:rsidR="006C1A83" w:rsidRDefault="00F75167" w14:paraId="00000012" w14:textId="77777777">
      <w:pPr>
        <w:spacing w:before="200" w:after="200"/>
        <w:rPr>
          <w:rFonts w:ascii="Rubik" w:hAnsi="Rubik" w:eastAsia="Verdana" w:cs="Rubik"/>
          <w:color w:val="232323"/>
        </w:rPr>
      </w:pPr>
      <w:r w:rsidRPr="00161FDA">
        <w:rPr>
          <w:rFonts w:hint="cs" w:ascii="Rubik" w:hAnsi="Rubik" w:eastAsia="Verdana" w:cs="Rubik"/>
          <w:i/>
          <w:color w:val="232323"/>
        </w:rPr>
        <w:t xml:space="preserve">When the final decisions have been made, there are several other steps you can take to ease the employee’s transition out of the company and help them find new work: </w:t>
      </w:r>
    </w:p>
    <w:p w:rsidRPr="00161FDA" w:rsidR="006C1A83" w:rsidP="00161FDA" w:rsidRDefault="00F75167" w14:paraId="00000013" w14:textId="77777777">
      <w:pPr>
        <w:numPr>
          <w:ilvl w:val="0"/>
          <w:numId w:val="4"/>
        </w:numPr>
        <w:rPr>
          <w:rFonts w:ascii="Rubik" w:hAnsi="Rubik" w:eastAsia="Verdana" w:cs="Rubik"/>
          <w:color w:val="232323"/>
        </w:rPr>
      </w:pPr>
      <w:r w:rsidRPr="00161FDA">
        <w:rPr>
          <w:rFonts w:hint="cs" w:ascii="Rubik" w:hAnsi="Rubik" w:eastAsia="Verdana" w:cs="Rubik"/>
          <w:color w:val="232323"/>
        </w:rPr>
        <w:lastRenderedPageBreak/>
        <w:t>Give employees compelling character references.</w:t>
      </w:r>
    </w:p>
    <w:p w:rsidRPr="00161FDA" w:rsidR="006C1A83" w:rsidP="7DBD108B" w:rsidRDefault="00F75167" w14:paraId="00000014" w14:textId="77777777">
      <w:pPr>
        <w:numPr>
          <w:ilvl w:val="0"/>
          <w:numId w:val="4"/>
        </w:numPr>
        <w:rPr>
          <w:rFonts w:ascii="Rubik" w:hAnsi="Rubik" w:eastAsia="Verdana" w:cs="Rubik"/>
          <w:color w:val="232323"/>
          <w:lang w:val="en-US"/>
        </w:rPr>
      </w:pPr>
      <w:r w:rsidRPr="7DBD108B" w:rsidR="00F75167">
        <w:rPr>
          <w:rFonts w:ascii="Rubik" w:hAnsi="Rubik" w:eastAsia="Verdana" w:cs="Rubik"/>
          <w:color w:val="232323"/>
          <w:lang w:val="en-US"/>
        </w:rPr>
        <w:t xml:space="preserve">Post on social media or in private communities, asking for relevant job postings and </w:t>
      </w:r>
      <w:r w:rsidRPr="7DBD108B" w:rsidR="00F75167">
        <w:rPr>
          <w:rFonts w:ascii="Rubik" w:hAnsi="Rubik" w:eastAsia="Verdana" w:cs="Rubik"/>
          <w:color w:val="232323"/>
          <w:lang w:val="en-US"/>
        </w:rPr>
        <w:t>offering to make</w:t>
      </w:r>
      <w:r w:rsidRPr="7DBD108B" w:rsidR="00F75167">
        <w:rPr>
          <w:rFonts w:ascii="Rubik" w:hAnsi="Rubik" w:eastAsia="Verdana" w:cs="Rubik"/>
          <w:color w:val="232323"/>
          <w:lang w:val="en-US"/>
        </w:rPr>
        <w:t xml:space="preserve"> referrals.</w:t>
      </w:r>
    </w:p>
    <w:p w:rsidRPr="00161FDA" w:rsidR="006C1A83" w:rsidP="00161FDA" w:rsidRDefault="00F75167" w14:paraId="00000015" w14:textId="77777777">
      <w:pPr>
        <w:numPr>
          <w:ilvl w:val="0"/>
          <w:numId w:val="4"/>
        </w:numPr>
        <w:rPr>
          <w:rFonts w:ascii="Rubik" w:hAnsi="Rubik" w:eastAsia="Verdana" w:cs="Rubik"/>
          <w:color w:val="232323"/>
          <w:lang w:val="en-US"/>
        </w:rPr>
      </w:pPr>
      <w:r w:rsidRPr="00161FDA">
        <w:rPr>
          <w:rFonts w:hint="cs" w:ascii="Rubik" w:hAnsi="Rubik" w:eastAsia="Verdana" w:cs="Rubik"/>
          <w:color w:val="232323"/>
          <w:lang w:val="en-US"/>
        </w:rPr>
        <w:t>Provide redundant employees with access to an outplacement service, which can offer resources, support and guidance, which is specifically designed to help redundant employees find new work.</w:t>
      </w:r>
    </w:p>
    <w:p w:rsidRPr="00161FDA" w:rsidR="006C1A83" w:rsidP="00161FDA" w:rsidRDefault="00F75167" w14:paraId="00000016" w14:textId="77777777">
      <w:pPr>
        <w:numPr>
          <w:ilvl w:val="0"/>
          <w:numId w:val="4"/>
        </w:numPr>
        <w:rPr>
          <w:rFonts w:ascii="Rubik" w:hAnsi="Rubik" w:eastAsia="Verdana" w:cs="Rubik"/>
          <w:color w:val="232323"/>
          <w:lang w:val="en-US"/>
        </w:rPr>
      </w:pPr>
      <w:r w:rsidRPr="00161FDA">
        <w:rPr>
          <w:rFonts w:hint="cs" w:ascii="Rubik" w:hAnsi="Rubik" w:eastAsia="Verdana" w:cs="Rubik"/>
          <w:color w:val="232323"/>
          <w:lang w:val="en-US"/>
        </w:rPr>
        <w:t>Ask continuing employees to reach out to their redundant colleagues, offering support and suggesting potential jobs they’ve seen elsewhere.</w:t>
      </w:r>
    </w:p>
    <w:p w:rsidRPr="00161FDA" w:rsidR="006C1A83" w:rsidP="00161FDA" w:rsidRDefault="00F75167" w14:paraId="00000017" w14:textId="77777777">
      <w:pPr>
        <w:numPr>
          <w:ilvl w:val="0"/>
          <w:numId w:val="4"/>
        </w:numPr>
        <w:rPr>
          <w:rFonts w:ascii="Rubik" w:hAnsi="Rubik" w:eastAsia="Verdana" w:cs="Rubik"/>
          <w:color w:val="232323"/>
        </w:rPr>
      </w:pPr>
      <w:r w:rsidRPr="00161FDA">
        <w:rPr>
          <w:rFonts w:hint="cs" w:ascii="Rubik" w:hAnsi="Rubik" w:eastAsia="Verdana" w:cs="Rubik"/>
          <w:color w:val="232323"/>
        </w:rPr>
        <w:t>Offer emotional and financial support to redundant employees.</w:t>
      </w:r>
    </w:p>
    <w:p w:rsidRPr="00161FDA" w:rsidR="006C1A83" w:rsidP="7DBD108B" w:rsidRDefault="00F75167" w14:paraId="00000018" w14:textId="77777777">
      <w:pPr>
        <w:numPr>
          <w:ilvl w:val="0"/>
          <w:numId w:val="4"/>
        </w:numPr>
        <w:rPr>
          <w:rFonts w:ascii="Rubik" w:hAnsi="Rubik" w:eastAsia="Verdana" w:cs="Rubik"/>
          <w:color w:val="232323"/>
          <w:lang w:val="en-US"/>
        </w:rPr>
      </w:pPr>
      <w:r w:rsidRPr="7DBD108B" w:rsidR="00F75167">
        <w:rPr>
          <w:rFonts w:ascii="Rubik" w:hAnsi="Rubik" w:eastAsia="Verdana" w:cs="Rubik"/>
          <w:color w:val="232323"/>
          <w:lang w:val="en-US"/>
        </w:rPr>
        <w:t xml:space="preserve">Consider what contacts in your network might be able to help with career coaching, CV </w:t>
      </w:r>
      <w:r w:rsidRPr="7DBD108B" w:rsidR="00F75167">
        <w:rPr>
          <w:rFonts w:ascii="Rubik" w:hAnsi="Rubik" w:eastAsia="Verdana" w:cs="Rubik"/>
          <w:color w:val="232323"/>
          <w:lang w:val="en-US"/>
        </w:rPr>
        <w:t>writing</w:t>
      </w:r>
      <w:r w:rsidRPr="7DBD108B" w:rsidR="00F75167">
        <w:rPr>
          <w:rFonts w:ascii="Rubik" w:hAnsi="Rubik" w:eastAsia="Verdana" w:cs="Rubik"/>
          <w:color w:val="232323"/>
          <w:lang w:val="en-US"/>
        </w:rPr>
        <w:t xml:space="preserve"> or alternative employment for affected employees.</w:t>
      </w:r>
    </w:p>
    <w:p w:rsidRPr="00161FDA" w:rsidR="006C1A83" w:rsidP="00161FDA" w:rsidRDefault="00F75167" w14:paraId="00000019" w14:textId="77777777">
      <w:pPr>
        <w:numPr>
          <w:ilvl w:val="0"/>
          <w:numId w:val="4"/>
        </w:numPr>
        <w:rPr>
          <w:rFonts w:ascii="Rubik" w:hAnsi="Rubik" w:eastAsia="Verdana" w:cs="Rubik"/>
          <w:color w:val="232323"/>
        </w:rPr>
      </w:pPr>
      <w:r w:rsidRPr="00161FDA">
        <w:rPr>
          <w:rFonts w:hint="cs" w:ascii="Rubik" w:hAnsi="Rubik" w:eastAsia="Verdana" w:cs="Rubik"/>
          <w:color w:val="232323"/>
        </w:rPr>
        <w:t>Provide access to online skills training or other relevant resources.</w:t>
      </w:r>
    </w:p>
    <w:p w:rsidRPr="00161FDA" w:rsidR="006C1A83" w:rsidP="00161FDA" w:rsidRDefault="00F75167" w14:paraId="0000001A" w14:textId="77777777">
      <w:pPr>
        <w:numPr>
          <w:ilvl w:val="0"/>
          <w:numId w:val="4"/>
        </w:numPr>
        <w:rPr>
          <w:rFonts w:ascii="Rubik" w:hAnsi="Rubik" w:eastAsia="Verdana" w:cs="Rubik"/>
          <w:color w:val="232323"/>
          <w:lang w:val="en-US"/>
        </w:rPr>
      </w:pPr>
      <w:r w:rsidRPr="00161FDA">
        <w:rPr>
          <w:rFonts w:hint="cs" w:ascii="Rubik" w:hAnsi="Rubik" w:eastAsia="Verdana" w:cs="Rubik"/>
          <w:color w:val="232323"/>
          <w:lang w:val="en-US"/>
        </w:rPr>
        <w:t>Refer redundant employees to recruiters, job boards, private communities or specific job adverts.</w:t>
      </w:r>
    </w:p>
    <w:p w:rsidRPr="00161FDA" w:rsidR="006C1A83" w:rsidP="00161FDA" w:rsidRDefault="00F75167" w14:paraId="0000001B" w14:textId="77777777">
      <w:pPr>
        <w:numPr>
          <w:ilvl w:val="0"/>
          <w:numId w:val="4"/>
        </w:numPr>
        <w:rPr>
          <w:rFonts w:ascii="Rubik" w:hAnsi="Rubik" w:eastAsia="Verdana" w:cs="Rubik"/>
          <w:color w:val="232323"/>
        </w:rPr>
      </w:pPr>
      <w:r w:rsidRPr="00161FDA">
        <w:rPr>
          <w:rFonts w:hint="cs" w:ascii="Rubik" w:hAnsi="Rubik" w:eastAsia="Verdana" w:cs="Rubik"/>
          <w:color w:val="232323"/>
        </w:rPr>
        <w:t xml:space="preserve">Inform employees of free services like the Government’s </w:t>
      </w:r>
      <w:hyperlink r:id="rId20">
        <w:r w:rsidRPr="00161FDA">
          <w:rPr>
            <w:rFonts w:hint="cs" w:ascii="Rubik" w:hAnsi="Rubik" w:eastAsia="Verdana" w:cs="Rubik"/>
            <w:color w:val="1370ED"/>
            <w:u w:val="single"/>
          </w:rPr>
          <w:t>Rapid Response Service</w:t>
        </w:r>
      </w:hyperlink>
      <w:r w:rsidRPr="00161FDA">
        <w:rPr>
          <w:rFonts w:hint="cs" w:ascii="Rubik" w:hAnsi="Rubik" w:eastAsia="Verdana" w:cs="Rubik"/>
          <w:color w:val="1370ED"/>
        </w:rPr>
        <w:t xml:space="preserve"> </w:t>
      </w:r>
      <w:r w:rsidRPr="00161FDA">
        <w:rPr>
          <w:rFonts w:hint="cs" w:ascii="Rubik" w:hAnsi="Rubik" w:eastAsia="Verdana" w:cs="Rubik"/>
          <w:color w:val="232323"/>
        </w:rPr>
        <w:t>that can help individuals find new work.</w:t>
      </w:r>
    </w:p>
    <w:p w:rsidRPr="00161FDA" w:rsidR="006C1A83" w:rsidP="00161FDA" w:rsidRDefault="00F75167" w14:paraId="0000001C" w14:textId="77777777">
      <w:pPr>
        <w:numPr>
          <w:ilvl w:val="0"/>
          <w:numId w:val="4"/>
        </w:numPr>
        <w:rPr>
          <w:rFonts w:ascii="Rubik" w:hAnsi="Rubik" w:eastAsia="Verdana" w:cs="Rubik"/>
          <w:color w:val="232323"/>
        </w:rPr>
      </w:pPr>
      <w:r w:rsidRPr="00161FDA">
        <w:rPr>
          <w:rFonts w:hint="cs" w:ascii="Rubik" w:hAnsi="Rubik" w:eastAsia="Verdana" w:cs="Rubik"/>
          <w:color w:val="232323"/>
        </w:rPr>
        <w:t xml:space="preserve">Consider what goodwill gestures the company might like to make to thank staff for their service. </w:t>
      </w:r>
    </w:p>
    <w:p w:rsidR="006C1A83" w:rsidRDefault="006C1A83" w14:paraId="0000001D" w14:textId="646F798A">
      <w:pPr>
        <w:rPr>
          <w:rFonts w:ascii="Verdana" w:hAnsi="Verdana" w:eastAsia="Verdana" w:cs="Verdana"/>
        </w:rPr>
      </w:pPr>
    </w:p>
    <w:p w:rsidR="00C209FD" w:rsidRDefault="00C209FD" w14:paraId="55FD737C" w14:textId="77777777">
      <w:pPr>
        <w:rPr>
          <w:rFonts w:ascii="Verdana" w:hAnsi="Verdana" w:eastAsia="Verdana" w:cs="Verdana"/>
        </w:rPr>
      </w:pPr>
    </w:p>
    <w:p w:rsidR="00C209FD" w:rsidRDefault="00C209FD" w14:paraId="42FC9AD6" w14:textId="1722B5F9">
      <w:pPr>
        <w:rPr>
          <w:rFonts w:ascii="Verdana" w:hAnsi="Verdana" w:eastAsia="Verdana" w:cs="Verdana"/>
        </w:rPr>
      </w:pPr>
      <w:r>
        <w:rPr>
          <w:rFonts w:ascii="Rubik" w:hAnsi="Rubik" w:eastAsia="Verdana" w:cs="Rubik"/>
          <w:b/>
          <w:bCs/>
          <w:noProof/>
          <w:sz w:val="32"/>
          <w:szCs w:val="32"/>
        </w:rPr>
        <mc:AlternateContent>
          <mc:Choice Requires="wps">
            <w:drawing>
              <wp:anchor distT="0" distB="0" distL="114300" distR="114300" simplePos="0" relativeHeight="251662336" behindDoc="0" locked="0" layoutInCell="1" allowOverlap="1" wp14:anchorId="03D01C45" wp14:editId="61D9393D">
                <wp:simplePos x="0" y="0"/>
                <wp:positionH relativeFrom="column">
                  <wp:posOffset>0</wp:posOffset>
                </wp:positionH>
                <wp:positionV relativeFrom="paragraph">
                  <wp:posOffset>0</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rsidRPr="00521F53" w:rsidR="00C209FD" w:rsidP="00C209FD" w:rsidRDefault="00C209FD" w14:paraId="6FCCE54C" w14:textId="77777777">
                            <w:pPr>
                              <w:spacing w:line="240" w:lineRule="auto"/>
                              <w:jc w:val="center"/>
                              <w:rPr>
                                <w:rFonts w:ascii="Rubik" w:hAnsi="Rubik" w:eastAsia="Verdana" w:cs="Rubik"/>
                                <w:color w:val="1370ED"/>
                                <w:sz w:val="32"/>
                                <w:szCs w:val="32"/>
                                <w:lang w:val="en-GB"/>
                              </w:rPr>
                            </w:pPr>
                            <w:hyperlink w:history="1" r:id="rId21">
                              <w:r w:rsidRPr="00521F53">
                                <w:rPr>
                                  <w:rStyle w:val="Hyperlink"/>
                                  <w:rFonts w:ascii="Rubik" w:hAnsi="Rubik" w:eastAsia="Verdana" w:cs="Rubik"/>
                                  <w:color w:val="1370ED"/>
                                  <w:sz w:val="32"/>
                                  <w:szCs w:val="32"/>
                                  <w:lang w:val="en-GB"/>
                                </w:rPr>
                                <w:t>Worried about compliance? We can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0;margin-top:0;width:483.7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3ede7" strokecolor="#232323" strokeweight="1pt" arcsize=".5" w14:anchorId="03D01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">
                <v:textbox>
                  <w:txbxContent>
                    <w:p w:rsidRPr="00521F53" w:rsidR="00C209FD" w:rsidP="00C209FD" w:rsidRDefault="00C209FD" w14:paraId="6FCCE54C" w14:textId="77777777">
                      <w:pPr>
                        <w:spacing w:line="240" w:lineRule="auto"/>
                        <w:jc w:val="center"/>
                        <w:rPr>
                          <w:rFonts w:ascii="Rubik" w:hAnsi="Rubik" w:eastAsia="Verdana" w:cs="Rubik"/>
                          <w:color w:val="1370ED"/>
                          <w:sz w:val="32"/>
                          <w:szCs w:val="32"/>
                          <w:lang w:val="en-GB"/>
                        </w:rPr>
                      </w:pPr>
                      <w:hyperlink w:history="1" r:id="rId22">
                        <w:r w:rsidRPr="00521F53">
                          <w:rPr>
                            <w:rStyle w:val="Hyperlink"/>
                            <w:rFonts w:ascii="Rubik" w:hAnsi="Rubik" w:eastAsia="Verdana" w:cs="Rubik"/>
                            <w:color w:val="1370ED"/>
                            <w:sz w:val="32"/>
                            <w:szCs w:val="32"/>
                            <w:lang w:val="en-GB"/>
                          </w:rPr>
                          <w:t>Worried about compliance? We can help.</w:t>
                        </w:r>
                      </w:hyperlink>
                    </w:p>
                  </w:txbxContent>
                </v:textbox>
              </v:roundrect>
            </w:pict>
          </mc:Fallback>
        </mc:AlternateContent>
      </w:r>
    </w:p>
    <w:p w:rsidRPr="006F754E" w:rsidR="006F754E" w:rsidP="006F754E" w:rsidRDefault="006F754E" w14:paraId="2E45A290" w14:textId="77777777">
      <w:pPr>
        <w:rPr>
          <w:rFonts w:ascii="Verdana" w:hAnsi="Verdana" w:eastAsia="Verdana" w:cs="Verdana"/>
        </w:rPr>
      </w:pPr>
    </w:p>
    <w:p w:rsidRPr="006F754E" w:rsidR="006F754E" w:rsidP="006F754E" w:rsidRDefault="006F754E" w14:paraId="2CA7E36E" w14:textId="77777777">
      <w:pPr>
        <w:rPr>
          <w:rFonts w:ascii="Verdana" w:hAnsi="Verdana" w:eastAsia="Verdana" w:cs="Verdana"/>
        </w:rPr>
      </w:pPr>
    </w:p>
    <w:p w:rsidR="006F754E" w:rsidP="006F754E" w:rsidRDefault="006F754E" w14:paraId="2C8980CA" w14:textId="77777777">
      <w:pPr>
        <w:rPr>
          <w:rFonts w:ascii="Verdana" w:hAnsi="Verdana" w:eastAsia="Verdana" w:cs="Verdana"/>
        </w:rPr>
      </w:pPr>
    </w:p>
    <w:p w:rsidRPr="006F754E" w:rsidR="002260DE" w:rsidP="006F754E" w:rsidRDefault="002260DE" w14:paraId="1C0CC67F" w14:textId="77777777">
      <w:pPr>
        <w:rPr>
          <w:rFonts w:ascii="Rubik" w:hAnsi="Rubik" w:eastAsia="Verdana" w:cs="Rubik"/>
          <w:i/>
          <w:iCs/>
        </w:rPr>
      </w:pPr>
    </w:p>
    <w:p w:rsidRPr="006F754E" w:rsidR="006F754E" w:rsidP="006F754E" w:rsidRDefault="006F754E" w14:paraId="56BBD9D5" w14:textId="06BD47CE">
      <w:pPr>
        <w:rPr>
          <w:rFonts w:ascii="Rubik" w:hAnsi="Rubik" w:eastAsia="Verdana" w:cs="Rubik"/>
          <w:b/>
          <w:bCs/>
          <w:i/>
          <w:iCs/>
        </w:rPr>
      </w:pPr>
    </w:p>
    <w:sectPr w:rsidRPr="006F754E" w:rsidR="006F754E" w:rsidSect="00161FDA">
      <w:footerReference w:type="even" r:id="rId23"/>
      <w:footerReference w:type="default" r:id="rId24"/>
      <w:pgSz w:w="11906" w:h="16838" w:orient="portrait"/>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1B28" w:rsidP="00161FDA" w:rsidRDefault="00781B28" w14:paraId="7593CF06" w14:textId="77777777">
      <w:pPr>
        <w:spacing w:line="240" w:lineRule="auto"/>
      </w:pPr>
      <w:r>
        <w:separator/>
      </w:r>
    </w:p>
  </w:endnote>
  <w:endnote w:type="continuationSeparator" w:id="0">
    <w:p w:rsidR="00781B28" w:rsidP="00161FDA" w:rsidRDefault="00781B28" w14:paraId="62014CC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B1"/>
    <w:family w:val="auto"/>
    <w:pitch w:val="variable"/>
    <w:sig w:usb0="A0002A6F" w:usb1="C000205B" w:usb2="00000000" w:usb3="00000000" w:csb0="000000F7" w:csb1="00000000"/>
    <w:embedRegular w:fontKey="{8BD9EC57-6ECF-4BC5-85B5-6A9D18709247}" r:id="rId1"/>
    <w:embedBold w:fontKey="{DD1FB607-7109-4935-A6B3-CC86B7461B87}" r:id="rId2"/>
    <w:embedItalic w:fontKey="{FD6FCB82-CE76-446C-A30A-94D9B24D0A93}" r:id="rId3"/>
    <w:embedBoldItalic w:fontKey="{D8CBDAF4-63E2-4552-8453-2179B58CA4DF}" r:id="rId4"/>
  </w:font>
  <w:font w:name="Verdana">
    <w:panose1 w:val="020B0604030504040204"/>
    <w:charset w:val="00"/>
    <w:family w:val="swiss"/>
    <w:pitch w:val="variable"/>
    <w:sig w:usb0="A00006FF" w:usb1="4000205B" w:usb2="00000010" w:usb3="00000000" w:csb0="0000019F" w:csb1="00000000"/>
    <w:embedRegular w:fontKey="{946AB217-D886-450F-815C-C4E266D9EDB7}" r:id="rId5"/>
    <w:embedBold w:fontKey="{B6E6E15F-841D-49F7-BCCF-30DE7F9033F0}" r:id="rId6"/>
    <w:embedItalic w:fontKey="{D3581FE7-2E8F-4F6A-93A4-23ED04B0AF1C}" r:id="rId7"/>
    <w:embedBoldItalic w:fontKey="{B2B00766-E59A-495C-A210-CE4D87A2C017}"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E072934-8FF8-411D-A14A-56D233392480}"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33D55DB-A270-4230-9BA3-4FA47BFB993B}"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788737"/>
      <w:docPartObj>
        <w:docPartGallery w:val="Page Numbers (Bottom of Page)"/>
        <w:docPartUnique/>
      </w:docPartObj>
    </w:sdtPr>
    <w:sdtContent>
      <w:p w:rsidR="00C209FD" w:rsidP="00430F71" w:rsidRDefault="00C209FD" w14:paraId="3C900EAB" w14:textId="0927EFCF">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C209FD" w:rsidRDefault="00C209FD" w14:paraId="699639C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sdt>
    <w:sdtPr>
      <w:rPr>
        <w:rStyle w:val="PageNumber"/>
      </w:rPr>
      <w:id w:val="-958100038"/>
      <w:docPartObj>
        <w:docPartGallery w:val="Page Numbers (Bottom of Page)"/>
        <w:docPartUnique/>
      </w:docPartObj>
    </w:sdtPr>
    <w:sdtContent>
      <w:p w:rsidR="00C209FD" w:rsidP="00430F71" w:rsidRDefault="00C209FD" w14:paraId="0411D975" w14:textId="6E47074D">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161FDA" w:rsidP="008D49C0" w:rsidRDefault="008D49C0" w14:paraId="3CE051A4" w14:textId="1444E58F">
    <w:pPr>
      <w:pStyle w:val="Footer"/>
      <w:tabs>
        <w:tab w:val="left" w:pos="1306"/>
      </w:tabs>
    </w:pPr>
    <w:r>
      <w:rPr>
        <w:noProof/>
      </w:rPr>
      <w:drawing>
        <wp:anchor distT="0" distB="0" distL="114300" distR="114300" simplePos="0" relativeHeight="251659264" behindDoc="1" locked="0" layoutInCell="1" allowOverlap="1" wp14:anchorId="38A223C9" wp14:editId="2AF24DA9">
          <wp:simplePos x="0" y="0"/>
          <wp:positionH relativeFrom="margin">
            <wp:posOffset>52705</wp:posOffset>
          </wp:positionH>
          <wp:positionV relativeFrom="paragraph">
            <wp:posOffset>-129540</wp:posOffset>
          </wp:positionV>
          <wp:extent cx="1393190" cy="549275"/>
          <wp:effectExtent l="0" t="0" r="0" b="3175"/>
          <wp:wrapTight wrapText="bothSides">
            <wp:wrapPolygon edited="0">
              <wp:start x="0" y="0"/>
              <wp:lineTo x="0" y="20976"/>
              <wp:lineTo x="21265" y="20976"/>
              <wp:lineTo x="21265" y="0"/>
              <wp:lineTo x="0" y="0"/>
            </wp:wrapPolygon>
          </wp:wrapTight>
          <wp:docPr id="1926255818"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818" name="Picture 4">
                    <a:hlinkClick r:id="rId1"/>
                  </pic:cNvPr>
                  <pic:cNvPicPr/>
                </pic:nvPicPr>
                <pic:blipFill rotWithShape="1">
                  <a:blip r:embed="rId2">
                    <a:extLst>
                      <a:ext uri="{28A0092B-C50C-407E-A947-70E740481C1C}">
                        <a14:useLocalDpi xmlns:a14="http://schemas.microsoft.com/office/drawing/2010/main" val="0"/>
                      </a:ext>
                    </a:extLst>
                  </a:blip>
                  <a:srcRect t="29687" b="30860"/>
                  <a:stretch>
                    <a:fillRect/>
                  </a:stretch>
                </pic:blipFill>
                <pic:spPr bwMode="auto">
                  <a:xfrm>
                    <a:off x="0" y="0"/>
                    <a:ext cx="139319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2D55B90" wp14:editId="5630D899">
          <wp:simplePos x="0" y="0"/>
          <wp:positionH relativeFrom="margin">
            <wp:posOffset>4848047</wp:posOffset>
          </wp:positionH>
          <wp:positionV relativeFrom="paragraph">
            <wp:posOffset>42959</wp:posOffset>
          </wp:positionV>
          <wp:extent cx="1393825" cy="247650"/>
          <wp:effectExtent l="0" t="0" r="0" b="0"/>
          <wp:wrapTight wrapText="bothSides">
            <wp:wrapPolygon edited="0">
              <wp:start x="590" y="0"/>
              <wp:lineTo x="0" y="4985"/>
              <wp:lineTo x="0" y="14954"/>
              <wp:lineTo x="1476" y="19938"/>
              <wp:lineTo x="21256" y="19938"/>
              <wp:lineTo x="21256" y="3323"/>
              <wp:lineTo x="17418" y="0"/>
              <wp:lineTo x="590" y="0"/>
            </wp:wrapPolygon>
          </wp:wrapTight>
          <wp:docPr id="1026774140" name="Graphic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3"/>
                  </pic:cNvPr>
                  <pic:cNvPicPr/>
                </pic:nvPicPr>
                <pic:blipFill>
                  <a:blip r:embed="rId4">
                    <a:extLst>
                      <a:ext uri="{96DAC541-7B7A-43D3-8B79-37D633B846F1}">
                        <asvg:svgBlip xmlns:asvg="http://schemas.microsoft.com/office/drawing/2016/SVG/main" r:embed="rId5"/>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1B28" w:rsidP="00161FDA" w:rsidRDefault="00781B28" w14:paraId="03C151A7" w14:textId="77777777">
      <w:pPr>
        <w:spacing w:line="240" w:lineRule="auto"/>
      </w:pPr>
      <w:r>
        <w:separator/>
      </w:r>
    </w:p>
  </w:footnote>
  <w:footnote w:type="continuationSeparator" w:id="0">
    <w:p w:rsidR="00781B28" w:rsidP="00161FDA" w:rsidRDefault="00781B28" w14:paraId="2C65C333"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413C44C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width:15.9pt;height:15.9pt;visibility:visible" alt="/Users/ellahammerton/Library/CloudStorage/OneDrive-breatheHR/Documents - Marketing Team/Artwork/Design projects/ICONS/circle-arrow-right-02-solid-standard.svg" o:spid="_x0000_i1025" o:bullet="t" type="#_x0000_t75">
        <v:imagedata o:title="" r:id="rId1"/>
      </v:shape>
    </w:pict>
  </w:numPicBullet>
  <w:abstractNum w:abstractNumId="0" w15:restartNumberingAfterBreak="0">
    <w:nsid w:val="2EFE13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5A63AC"/>
    <w:multiLevelType w:val="multilevel"/>
    <w:tmpl w:val="F49CAA70"/>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4F7212"/>
    <w:multiLevelType w:val="hybridMultilevel"/>
    <w:tmpl w:val="7EC8370A"/>
    <w:lvl w:ilvl="0" w:tplc="B2DC128E">
      <w:start w:val="1"/>
      <w:numFmt w:val="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6F50D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1166259">
    <w:abstractNumId w:val="0"/>
  </w:num>
  <w:num w:numId="2" w16cid:durableId="227494015">
    <w:abstractNumId w:val="3"/>
  </w:num>
  <w:num w:numId="3" w16cid:durableId="535314200">
    <w:abstractNumId w:val="2"/>
  </w:num>
  <w:num w:numId="4" w16cid:durableId="167255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A83"/>
    <w:rsid w:val="00161FDA"/>
    <w:rsid w:val="001F6D0E"/>
    <w:rsid w:val="002260DE"/>
    <w:rsid w:val="0039318F"/>
    <w:rsid w:val="00534EE0"/>
    <w:rsid w:val="006071D6"/>
    <w:rsid w:val="006C1A83"/>
    <w:rsid w:val="006F754E"/>
    <w:rsid w:val="00781B28"/>
    <w:rsid w:val="008D49C0"/>
    <w:rsid w:val="009E322A"/>
    <w:rsid w:val="00A235E2"/>
    <w:rsid w:val="00AC0E48"/>
    <w:rsid w:val="00C209FD"/>
    <w:rsid w:val="00D47457"/>
    <w:rsid w:val="00DD388B"/>
    <w:rsid w:val="00E35EDB"/>
    <w:rsid w:val="00EC3CB4"/>
    <w:rsid w:val="00F75167"/>
    <w:rsid w:val="00F81D1B"/>
    <w:rsid w:val="00FB67B6"/>
    <w:rsid w:val="03653D94"/>
    <w:rsid w:val="19682D4E"/>
    <w:rsid w:val="7DBD10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49182"/>
  <w15:docId w15:val="{238ECBDB-0234-461D-9E3B-BC42BC3B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19682D4E"/>
    <w:rPr>
      <w:color w:val="0000FF"/>
      <w:u w:val="single"/>
    </w:rPr>
  </w:style>
  <w:style w:type="paragraph" w:styleId="Header">
    <w:name w:val="header"/>
    <w:basedOn w:val="Normal"/>
    <w:link w:val="HeaderChar"/>
    <w:uiPriority w:val="99"/>
    <w:unhideWhenUsed/>
    <w:rsid w:val="00161FDA"/>
    <w:pPr>
      <w:tabs>
        <w:tab w:val="center" w:pos="4513"/>
        <w:tab w:val="right" w:pos="9026"/>
      </w:tabs>
      <w:spacing w:line="240" w:lineRule="auto"/>
    </w:pPr>
  </w:style>
  <w:style w:type="character" w:styleId="HeaderChar" w:customStyle="1">
    <w:name w:val="Header Char"/>
    <w:basedOn w:val="DefaultParagraphFont"/>
    <w:link w:val="Header"/>
    <w:uiPriority w:val="99"/>
    <w:rsid w:val="00161FDA"/>
  </w:style>
  <w:style w:type="paragraph" w:styleId="Footer">
    <w:name w:val="footer"/>
    <w:basedOn w:val="Normal"/>
    <w:link w:val="FooterChar"/>
    <w:uiPriority w:val="99"/>
    <w:unhideWhenUsed/>
    <w:rsid w:val="00161FDA"/>
    <w:pPr>
      <w:tabs>
        <w:tab w:val="center" w:pos="4513"/>
        <w:tab w:val="right" w:pos="9026"/>
      </w:tabs>
      <w:spacing w:line="240" w:lineRule="auto"/>
    </w:pPr>
  </w:style>
  <w:style w:type="character" w:styleId="FooterChar" w:customStyle="1">
    <w:name w:val="Footer Char"/>
    <w:basedOn w:val="DefaultParagraphFont"/>
    <w:link w:val="Footer"/>
    <w:uiPriority w:val="99"/>
    <w:rsid w:val="00161FDA"/>
  </w:style>
  <w:style w:type="paragraph" w:styleId="ListParagraph">
    <w:name w:val="List Paragraph"/>
    <w:basedOn w:val="Normal"/>
    <w:uiPriority w:val="34"/>
    <w:qFormat/>
    <w:rsid w:val="00161FDA"/>
    <w:pPr>
      <w:ind w:left="720"/>
      <w:contextualSpacing/>
    </w:pPr>
  </w:style>
  <w:style w:type="character" w:styleId="PageNumber">
    <w:name w:val="page number"/>
    <w:basedOn w:val="DefaultParagraphFont"/>
    <w:uiPriority w:val="99"/>
    <w:semiHidden/>
    <w:unhideWhenUsed/>
    <w:rsid w:val="00C209FD"/>
  </w:style>
  <w:style w:type="character" w:styleId="UnresolvedMention">
    <w:name w:val="Unresolved Mention"/>
    <w:basedOn w:val="DefaultParagraphFont"/>
    <w:uiPriority w:val="99"/>
    <w:semiHidden/>
    <w:unhideWhenUsed/>
    <w:rsid w:val="00226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loverhr.co.uk/contact/?utm_source=Breathe%20HR%20redundancy%20toolkit&amp;utm_medium=referral&amp;utm_campaign=Breathe%20redundancy%20content" TargetMode="External" Id="rId13" /><Relationship Type="http://schemas.openxmlformats.org/officeDocument/2006/relationships/hyperlink" Target="https://www.cloverhr.co.uk/contact/?utm_source=Breathe%20HR%20redundancy%20toolkit&amp;utm_medium=referral&amp;utm_campaign=Breathe%20redundancy%20content"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breathehr.com/en-gb/hr-software/compliance?utm_source=resource&amp;utm_medium=word&amp;utm_campaign=employment+law&amp;utm_content=redundancy+toolkit+-+spreadsheets+" TargetMode="External" Id="rId21" /><Relationship Type="http://schemas.openxmlformats.org/officeDocument/2006/relationships/webSettings" Target="webSettings.xml" Id="rId7" /><Relationship Type="http://schemas.openxmlformats.org/officeDocument/2006/relationships/hyperlink" Target="https://www.acas.org.uk/redundancy" TargetMode="External" Id="rId12" /><Relationship Type="http://schemas.openxmlformats.org/officeDocument/2006/relationships/hyperlink" Target="https://www.acas.org.uk/redundancy"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breathehr.com/en-gb/partners/hr-consultancy-directory/clover-hr?utm_source=redundancy-toolkit&amp;utm_medium=referral&amp;utm_campaign=redundancy" TargetMode="External" Id="rId16" /><Relationship Type="http://schemas.openxmlformats.org/officeDocument/2006/relationships/hyperlink" Target="https://www.gov.uk/redundancy-your-rights/get-help-finding-a-new-job"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reathehr.com/en-gb/partners/hr-consultancy-directory/clover-hr?utm_source=redundancy-toolkit&amp;utm_medium=referral&amp;utm_campaign=redundancy" TargetMode="External" Id="rId11" /><Relationship Type="http://schemas.openxmlformats.org/officeDocument/2006/relationships/footer" Target="footer2.xml" Id="rId24" /><Relationship Type="http://schemas.openxmlformats.org/officeDocument/2006/relationships/styles" Target="styles.xml" Id="rId5" /><Relationship Type="http://schemas.openxmlformats.org/officeDocument/2006/relationships/hyperlink" Target="https://www.linkedin.com/in/lynn-burman-47156018b/?utm_source=Breathe%20HR%20redundancy%20toolkit&amp;utm_medium=referral&amp;utm_campaign=Breathe%20redundancy%20content" TargetMode="External" Id="rId15" /><Relationship Type="http://schemas.openxmlformats.org/officeDocument/2006/relationships/footer" Target="footer1.xml" Id="rId23" /><Relationship Type="http://schemas.openxmlformats.org/officeDocument/2006/relationships/hyperlink" Target="https://www.linkedin.com/in/lynn-burman-47156018b/?utm_source=Breathe%20HR%20redundancy%20toolkit&amp;utm_medium=referral&amp;utm_campaign=Breathe%20redundancy%20content" TargetMode="External" Id="rId10" /><Relationship Type="http://schemas.openxmlformats.org/officeDocument/2006/relationships/hyperlink" Target="https://www.breathehr.com/en-gb/partners/hr-consultancy-directory?utm_source=redundancy-toolkit&amp;utm_medium=referral&amp;utm_campaign=redundancy"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breathehr.com/en-gb/partners/hr-consultancy-directory?utm_source=redundancy-toolkit&amp;utm_medium=referral&amp;utm_campaign=redundancy" TargetMode="External" Id="rId14" /><Relationship Type="http://schemas.openxmlformats.org/officeDocument/2006/relationships/hyperlink" Target="https://www.breathehr.com/en-gb/hr-software/compliance?utm_source=resource&amp;utm_medium=word&amp;utm_campaign=employment+law&amp;utm_content=redundancy+toolkit+-+spreadsheets+" TargetMode="Externa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breathehr.com/en-gb/sign-up?utm_source=resource&amp;utm_medium=word&amp;utm_campaign=employment+law&amp;utm_content=redundancy+toolkit+-+spreadsheets+" TargetMode="External"/><Relationship Id="rId2" Type="http://schemas.openxmlformats.org/officeDocument/2006/relationships/image" Target="media/image2.jpg"/><Relationship Id="rId1" Type="http://schemas.openxmlformats.org/officeDocument/2006/relationships/hyperlink" Target="https://www.cloverhr.co.uk/contact/?utm_source=Breathe%20HR%20redundancy%20toolkit&amp;utm_medium=referral&amp;utm_campaign=Breathe%20redundancy%20content" TargetMode="External"/><Relationship Id="rId5" Type="http://schemas.openxmlformats.org/officeDocument/2006/relationships/image" Target="media/image4.sv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Props1.xml><?xml version="1.0" encoding="utf-8"?>
<ds:datastoreItem xmlns:ds="http://schemas.openxmlformats.org/officeDocument/2006/customXml" ds:itemID="{54DBC23D-B41A-45C9-A289-811640C39002}"/>
</file>

<file path=customXml/itemProps2.xml><?xml version="1.0" encoding="utf-8"?>
<ds:datastoreItem xmlns:ds="http://schemas.openxmlformats.org/officeDocument/2006/customXml" ds:itemID="{BA37F05C-0C31-4AD8-AAB1-144806597678}">
  <ds:schemaRefs>
    <ds:schemaRef ds:uri="http://schemas.microsoft.com/sharepoint/v3/contenttype/forms"/>
  </ds:schemaRefs>
</ds:datastoreItem>
</file>

<file path=customXml/itemProps3.xml><?xml version="1.0" encoding="utf-8"?>
<ds:datastoreItem xmlns:ds="http://schemas.openxmlformats.org/officeDocument/2006/customXml" ds:itemID="{6EF35E88-1CA5-4D9D-8B6F-CEDC0F3F0BA5}">
  <ds:schemaRefs>
    <ds:schemaRef ds:uri="http://schemas.microsoft.com/office/2006/metadata/properties"/>
    <ds:schemaRef ds:uri="http://schemas.microsoft.com/office/infopath/2007/PartnerControls"/>
    <ds:schemaRef ds:uri="ccc281ee-85fd-4163-a0e1-25035850487e"/>
    <ds:schemaRef ds:uri="bb394fbc-285f-490e-b94f-b8375446142d"/>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Daisy Andrews</lastModifiedBy>
  <revision>10</revision>
  <dcterms:created xsi:type="dcterms:W3CDTF">2025-01-22T09:22:00.0000000Z</dcterms:created>
  <dcterms:modified xsi:type="dcterms:W3CDTF">2026-01-26T16:22:01.6938542Z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