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AC4F009" w14:textId="6F20240A" w:rsidR="000C1C96" w:rsidRDefault="000C1C96">
      <w:pPr>
        <w:rPr>
          <w:rFonts w:ascii="Rubik" w:eastAsia="Verdana" w:hAnsi="Rubik" w:cs="Rubik"/>
          <w:b/>
          <w:sz w:val="32"/>
          <w:szCs w:val="32"/>
        </w:rPr>
      </w:pPr>
      <w:r w:rsidRPr="000C1C96">
        <w:rPr>
          <w:rFonts w:ascii="Rubik" w:eastAsia="Verdana" w:hAnsi="Rubik" w:cs="Rubik"/>
          <w:b/>
          <w:bCs/>
          <w:noProof/>
          <w:sz w:val="32"/>
          <w:szCs w:val="32"/>
        </w:rPr>
        <mc:AlternateContent>
          <mc:Choice Requires="wps">
            <w:drawing>
              <wp:anchor distT="0" distB="0" distL="114300" distR="114300" simplePos="0" relativeHeight="251659264" behindDoc="0" locked="0" layoutInCell="1" allowOverlap="1" wp14:anchorId="1EE15182" wp14:editId="10B50E30">
                <wp:simplePos x="0" y="0"/>
                <wp:positionH relativeFrom="column">
                  <wp:posOffset>635</wp:posOffset>
                </wp:positionH>
                <wp:positionV relativeFrom="paragraph">
                  <wp:posOffset>0</wp:posOffset>
                </wp:positionV>
                <wp:extent cx="6143625" cy="555171"/>
                <wp:effectExtent l="0" t="0" r="3175" b="3810"/>
                <wp:wrapNone/>
                <wp:docPr id="391920089" name="Text Box 1"/>
                <wp:cNvGraphicFramePr/>
                <a:graphic xmlns:a="http://schemas.openxmlformats.org/drawingml/2006/main">
                  <a:graphicData uri="http://schemas.microsoft.com/office/word/2010/wordprocessingShape">
                    <wps:wsp>
                      <wps:cNvSpPr txBox="1"/>
                      <wps:spPr>
                        <a:xfrm>
                          <a:off x="0" y="0"/>
                          <a:ext cx="6143625" cy="555171"/>
                        </a:xfrm>
                        <a:prstGeom prst="roundRect">
                          <a:avLst>
                            <a:gd name="adj" fmla="val 50000"/>
                          </a:avLst>
                        </a:prstGeom>
                        <a:solidFill>
                          <a:srgbClr val="AAFF76"/>
                        </a:solidFill>
                        <a:ln w="6350">
                          <a:noFill/>
                        </a:ln>
                      </wps:spPr>
                      <wps:txbx>
                        <w:txbxContent>
                          <w:p w14:paraId="00BE753E" w14:textId="11D0C227" w:rsidR="000C1C96" w:rsidRPr="00666C02" w:rsidRDefault="000C1C96" w:rsidP="000C1C96">
                            <w:pPr>
                              <w:jc w:val="center"/>
                              <w:rPr>
                                <w:rFonts w:ascii="Rubik" w:eastAsia="Verdana" w:hAnsi="Rubik" w:cs="Rubik"/>
                                <w:b/>
                                <w:bCs/>
                                <w:color w:val="232323"/>
                                <w:sz w:val="36"/>
                                <w:szCs w:val="36"/>
                                <w:lang w:val="en-GB"/>
                              </w:rPr>
                            </w:pPr>
                            <w:r>
                              <w:rPr>
                                <w:rFonts w:ascii="Rubik" w:eastAsia="Verdana" w:hAnsi="Rubik" w:cs="Rubik"/>
                                <w:b/>
                                <w:bCs/>
                                <w:color w:val="232323"/>
                                <w:sz w:val="36"/>
                                <w:szCs w:val="36"/>
                                <w:lang w:val="en-GB"/>
                              </w:rPr>
                              <w:t>Compliance checklist for redundancy processes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6F84514D">
              <v:roundrect id="Text Box 1" style="position:absolute;margin-left:.05pt;margin-top:0;width:483.75pt;height:4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aaff76" stroked="f" strokeweight=".5pt" arcsize=".5" w14:anchorId="1EE1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WzsSQIAAIYEAAAOAAAAZHJzL2Uyb0RvYy54bWysVEuP2jAQvlfqf7B8LwksgRYRVpQVVSW0&#10;uypb7dk4NqSyPa5tSOiv79iERx+nqhyGGc/7m5lM71utyEE4X4Mpab+XUyIMh6o225J+fVm+e0+J&#10;D8xUTIERJT0KT+9nb99MGzsRA9iBqoQjGMT4SWNLugvBTrLM853QzPfACoNKCU6zgKLbZpVjDUbX&#10;Khvk+ShrwFXWARfe4+vDSUlnKb6UgocnKb0IRJUUawuJukQ3kWazKZtsHbO7mndlsH+oQrPaYNJL&#10;qAcWGNm7+o9QuuYOPMjQ46AzkLLmIvWA3fTz37pZ75gVqRcEx9sLTP7/heWPh7V9diS0H6HFAUZA&#10;GusnHh9jP610Ov5jpQT1COHxAptoA+H4OOoP70aDghKOuqIo+uMUJrt6W+fDJwGaRKakDvam+oKz&#10;SZCxw8qHhF1FDNO4JKz6RonUCidxYIoUOf5iYRixM0buHDN6elB1tayVSoLbbhbKEXQt6Xy+XI5H&#10;nfMvZsqQBmu/K/JUhYHof0qiDOa6ohC50G7aDpoNVEdEzMFpmbzlyxrbWjEfnpnDmhEkvIjwhEQq&#10;wCTQcZTswP3423u0x6GilpIGt7Gk/vueOUGJ+mxw3B/6w2Fc3yQMi/EABXer2dxqzF4vAJvv4+1Z&#10;nthoH9SZlQ70Kx7OPGZFFTMcc5c0nNlFON0IHh4X83kywoW1LKzM2vIYOkIdZ/DSvjJnu8kG3IlH&#10;OO9tN64TqFfb6Glgvg8g6xCVEeATqp2Ay56m3R1mvKZbOVldPx+znwAAAP//AwBQSwMEFAAGAAgA&#10;AAAhABv189TeAAAACQEAAA8AAABkcnMvZG93bnJldi54bWxMj8FOwzAQRO9I/IO1SNyoQ4WSksap&#10;KKicEBKFD3DsJUkTr0PstIGvZ3uCy0qj0czOKzaz68URx9B6UnC7SEAgGW9bqhV8vO9uViBC1GR1&#10;7wkVfGOATXl5Uejc+hO94XEfa8ElFHKtoIlxyKUMpkGnw8IPSOx9+tHpyHKspR31ictdL5dJkkqn&#10;W+IPjR7wsUHT7Sen4LWyX9OLwV13OGQ/Tfe8NcvtrNT11fy05vOwBhFxjn8JODPwfih5WOUnskH0&#10;Zy2iAmZi7z7NUhCVglV2B7Is5H+C8hcAAP//AwBQSwECLQAUAAYACAAAACEAtoM4kv4AAADhAQAA&#10;EwAAAAAAAAAAAAAAAAAAAAAAW0NvbnRlbnRfVHlwZXNdLnhtbFBLAQItABQABgAIAAAAIQA4/SH/&#10;1gAAAJQBAAALAAAAAAAAAAAAAAAAAC8BAABfcmVscy8ucmVsc1BLAQItABQABgAIAAAAIQDnFWzs&#10;SQIAAIYEAAAOAAAAAAAAAAAAAAAAAC4CAABkcnMvZTJvRG9jLnhtbFBLAQItABQABgAIAAAAIQAb&#10;9fPU3gAAAAkBAAAPAAAAAAAAAAAAAAAAAKMEAABkcnMvZG93bnJldi54bWxQSwUGAAAAAAQABADz&#10;AAAArgUAAAAA&#10;">
                <v:textbox>
                  <w:txbxContent>
                    <w:p w:rsidRPr="00666C02" w:rsidR="000C1C96" w:rsidP="000C1C96" w:rsidRDefault="000C1C96" w14:paraId="406C374D" w14:textId="11D0C227">
                      <w:pPr>
                        <w:jc w:val="center"/>
                        <w:rPr>
                          <w:rFonts w:ascii="Rubik" w:hAnsi="Rubik" w:eastAsia="Verdana" w:cs="Rubik"/>
                          <w:b/>
                          <w:bCs/>
                          <w:color w:val="232323"/>
                          <w:sz w:val="36"/>
                          <w:szCs w:val="36"/>
                          <w:lang w:val="en-GB"/>
                        </w:rPr>
                      </w:pPr>
                      <w:r>
                        <w:rPr>
                          <w:rFonts w:ascii="Rubik" w:hAnsi="Rubik" w:eastAsia="Verdana" w:cs="Rubik"/>
                          <w:b/>
                          <w:bCs/>
                          <w:color w:val="232323"/>
                          <w:sz w:val="36"/>
                          <w:szCs w:val="36"/>
                          <w:lang w:val="en-GB"/>
                        </w:rPr>
                        <w:t>Compliance checklist for redundancy processes</w:t>
                      </w:r>
                    </w:p>
                  </w:txbxContent>
                </v:textbox>
              </v:roundrect>
            </w:pict>
          </mc:Fallback>
        </mc:AlternateContent>
      </w:r>
    </w:p>
    <w:p w14:paraId="100CEF5A" w14:textId="77777777" w:rsidR="000C1C96" w:rsidRDefault="000C1C96">
      <w:pPr>
        <w:rPr>
          <w:rFonts w:ascii="Rubik" w:eastAsia="Verdana" w:hAnsi="Rubik" w:cs="Rubik"/>
          <w:b/>
          <w:sz w:val="32"/>
          <w:szCs w:val="32"/>
        </w:rPr>
      </w:pPr>
    </w:p>
    <w:p w14:paraId="51C6D8D3" w14:textId="77777777" w:rsidR="000C1C96" w:rsidRDefault="000C1C96">
      <w:pPr>
        <w:rPr>
          <w:rFonts w:ascii="Rubik" w:eastAsia="Verdana" w:hAnsi="Rubik" w:cs="Rubik"/>
          <w:b/>
          <w:sz w:val="32"/>
          <w:szCs w:val="32"/>
        </w:rPr>
      </w:pPr>
    </w:p>
    <w:p w14:paraId="3E1F29E9" w14:textId="3F1387EC" w:rsidR="000C1C96" w:rsidRDefault="00C550B1">
      <w:pPr>
        <w:rPr>
          <w:rFonts w:ascii="Rubik" w:eastAsia="Verdana" w:hAnsi="Rubik" w:cs="Rubik"/>
          <w:b/>
          <w:sz w:val="32"/>
          <w:szCs w:val="32"/>
        </w:rPr>
      </w:pPr>
      <w:r w:rsidRPr="000C1C96">
        <w:rPr>
          <w:rFonts w:ascii="Rubik" w:eastAsia="Verdana" w:hAnsi="Rubik" w:cs="Rubik"/>
          <w:b/>
          <w:i/>
          <w:noProof/>
          <w:sz w:val="32"/>
          <w:szCs w:val="32"/>
        </w:rPr>
        <mc:AlternateContent>
          <mc:Choice Requires="wps">
            <w:drawing>
              <wp:anchor distT="0" distB="0" distL="114300" distR="114300" simplePos="0" relativeHeight="251660288" behindDoc="0" locked="0" layoutInCell="1" allowOverlap="1" wp14:anchorId="446D6E09" wp14:editId="6B523EF9">
                <wp:simplePos x="0" y="0"/>
                <wp:positionH relativeFrom="margin">
                  <wp:align>left</wp:align>
                </wp:positionH>
                <wp:positionV relativeFrom="paragraph">
                  <wp:posOffset>7620</wp:posOffset>
                </wp:positionV>
                <wp:extent cx="6143625" cy="1371600"/>
                <wp:effectExtent l="0" t="0" r="28575" b="19050"/>
                <wp:wrapNone/>
                <wp:docPr id="1432679685" name="Text Box 3"/>
                <wp:cNvGraphicFramePr/>
                <a:graphic xmlns:a="http://schemas.openxmlformats.org/drawingml/2006/main">
                  <a:graphicData uri="http://schemas.microsoft.com/office/word/2010/wordprocessingShape">
                    <wps:wsp>
                      <wps:cNvSpPr txBox="1"/>
                      <wps:spPr>
                        <a:xfrm>
                          <a:off x="0" y="0"/>
                          <a:ext cx="6143625" cy="1371600"/>
                        </a:xfrm>
                        <a:prstGeom prst="roundRect">
                          <a:avLst/>
                        </a:prstGeom>
                        <a:noFill/>
                        <a:ln w="6350">
                          <a:solidFill>
                            <a:srgbClr val="232323"/>
                          </a:solidFill>
                        </a:ln>
                      </wps:spPr>
                      <wps:txbx>
                        <w:txbxContent>
                          <w:p w14:paraId="20DEED40" w14:textId="77777777" w:rsidR="007802A7" w:rsidRPr="007802A7" w:rsidRDefault="007802A7" w:rsidP="007802A7">
                            <w:pPr>
                              <w:rPr>
                                <w:rFonts w:ascii="Rubik" w:eastAsia="Verdana" w:hAnsi="Rubik" w:cs="Rubik"/>
                                <w:i/>
                                <w:iCs/>
                                <w:color w:val="232323"/>
                                <w:lang w:val="en-US"/>
                              </w:rPr>
                            </w:pPr>
                            <w:r w:rsidRPr="007802A7">
                              <w:rPr>
                                <w:rFonts w:ascii="Rubik" w:eastAsia="Verdana" w:hAnsi="Rubik" w:cs="Rubik" w:hint="cs"/>
                                <w:i/>
                                <w:iCs/>
                                <w:color w:val="232323"/>
                                <w:lang w:val="en-US"/>
                              </w:rPr>
                              <w:t xml:space="preserve">This resource was created in partnership with </w:t>
                            </w:r>
                            <w:hyperlink r:id="rId10" w:history="1">
                              <w:r w:rsidRPr="007802A7">
                                <w:rPr>
                                  <w:rStyle w:val="Hyperlink"/>
                                  <w:rFonts w:ascii="Rubik" w:eastAsia="Verdana" w:hAnsi="Rubik" w:cs="Rubik" w:hint="cs"/>
                                  <w:i/>
                                  <w:iCs/>
                                  <w:lang w:val="en-US"/>
                                </w:rPr>
                                <w:t>Lynn Burman</w:t>
                              </w:r>
                            </w:hyperlink>
                            <w:r w:rsidRPr="007802A7">
                              <w:rPr>
                                <w:rFonts w:ascii="Rubik" w:eastAsia="Verdana" w:hAnsi="Rubik" w:cs="Rubik" w:hint="cs"/>
                                <w:i/>
                                <w:iCs/>
                                <w:color w:val="232323"/>
                                <w:lang w:val="en-US"/>
                              </w:rPr>
                              <w:t xml:space="preserve">, Commercial Director at </w:t>
                            </w:r>
                            <w:hyperlink r:id="rId11" w:history="1">
                              <w:r w:rsidRPr="007802A7">
                                <w:rPr>
                                  <w:rStyle w:val="Hyperlink"/>
                                  <w:rFonts w:ascii="Rubik" w:eastAsia="Verdana" w:hAnsi="Rubik" w:cs="Rubik" w:hint="cs"/>
                                  <w:i/>
                                  <w:iCs/>
                                  <w:lang w:val="en-US"/>
                                </w:rPr>
                                <w:t>Clover HR</w:t>
                              </w:r>
                            </w:hyperlink>
                            <w:r w:rsidRPr="007802A7">
                              <w:rPr>
                                <w:rFonts w:ascii="Rubik" w:eastAsia="Verdana" w:hAnsi="Rubik" w:cs="Rubik" w:hint="cs"/>
                                <w:i/>
                                <w:iCs/>
                                <w:color w:val="232323"/>
                                <w:lang w:val="en-US"/>
                              </w:rPr>
                              <w:t xml:space="preserve">: an expert HR consultancy and trusted Breathe Partner. It’s intended as a general guide only. For the latest legal advice on redundancies, check out the full explainer from </w:t>
                            </w:r>
                            <w:hyperlink r:id="rId12" w:history="1">
                              <w:proofErr w:type="spellStart"/>
                              <w:r w:rsidRPr="007802A7">
                                <w:rPr>
                                  <w:rStyle w:val="Hyperlink"/>
                                  <w:rFonts w:ascii="Rubik" w:eastAsia="Verdana" w:hAnsi="Rubik" w:cs="Rubik" w:hint="cs"/>
                                  <w:i/>
                                  <w:iCs/>
                                  <w:lang w:val="en-US"/>
                                </w:rPr>
                                <w:t>Acas</w:t>
                              </w:r>
                              <w:proofErr w:type="spellEnd"/>
                            </w:hyperlink>
                            <w:r w:rsidRPr="007802A7">
                              <w:rPr>
                                <w:rFonts w:ascii="Rubik" w:eastAsia="Verdana" w:hAnsi="Rubik" w:cs="Rubik" w:hint="cs"/>
                                <w:i/>
                                <w:iCs/>
                                <w:color w:val="232323"/>
                                <w:lang w:val="en-US"/>
                              </w:rPr>
                              <w:t xml:space="preserve">. And if you’re considering a redundancy – or need HR advice of any kind – it’s always best to speak to an employment law specialist. You can </w:t>
                            </w:r>
                            <w:hyperlink r:id="rId13" w:history="1">
                              <w:r w:rsidRPr="007802A7">
                                <w:rPr>
                                  <w:rStyle w:val="Hyperlink"/>
                                  <w:rFonts w:ascii="Rubik" w:eastAsia="Verdana" w:hAnsi="Rubik" w:cs="Rubik" w:hint="cs"/>
                                  <w:i/>
                                  <w:iCs/>
                                  <w:lang w:val="en-US"/>
                                </w:rPr>
                                <w:t>get in touch with Clover HR here</w:t>
                              </w:r>
                            </w:hyperlink>
                            <w:r w:rsidRPr="007802A7">
                              <w:rPr>
                                <w:rFonts w:ascii="Rubik" w:eastAsia="Verdana" w:hAnsi="Rubik" w:cs="Rubik" w:hint="cs"/>
                                <w:i/>
                                <w:iCs/>
                                <w:color w:val="232323"/>
                                <w:lang w:val="en-US"/>
                              </w:rPr>
                              <w:t xml:space="preserve"> or find additional support through our </w:t>
                            </w:r>
                            <w:hyperlink r:id="rId14" w:history="1">
                              <w:r w:rsidRPr="007802A7">
                                <w:rPr>
                                  <w:rStyle w:val="Hyperlink"/>
                                  <w:rFonts w:ascii="Rubik" w:eastAsia="Verdana" w:hAnsi="Rubik" w:cs="Rubik" w:hint="cs"/>
                                  <w:i/>
                                  <w:iCs/>
                                  <w:lang w:val="en-US"/>
                                </w:rPr>
                                <w:t>Partner Directory</w:t>
                              </w:r>
                            </w:hyperlink>
                            <w:r w:rsidRPr="007802A7">
                              <w:rPr>
                                <w:rFonts w:ascii="Rubik" w:eastAsia="Verdana" w:hAnsi="Rubik" w:cs="Rubik" w:hint="cs"/>
                                <w:i/>
                                <w:iCs/>
                                <w:color w:val="232323"/>
                                <w:lang w:val="en-US"/>
                              </w:rPr>
                              <w:t xml:space="preserve">.  </w:t>
                            </w:r>
                          </w:p>
                          <w:p w14:paraId="556E8606" w14:textId="77777777" w:rsidR="000C1C96" w:rsidRDefault="000C1C96" w:rsidP="000C1C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29A6E75">
              <v:roundrect id="Text Box 3" style="position:absolute;margin-left:0;margin-top:.6pt;width:483.75pt;height:108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7" filled="f" strokecolor="#232323" strokeweight=".5pt" arcsize="10923f" w14:anchorId="446D6E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8eNgIAAGIEAAAOAAAAZHJzL2Uyb0RvYy54bWysVNtu2zAMfR+wfxD0vtjOrZ0Rp8hSZBgQ&#10;tMXSoc+KLMUGZFGTlNjZ14+Sc0O3p2EwIJMizcs5pGcPXaPIQVhXgy5oNkgpEZpDWetdQX+8rj7d&#10;U+I80yVToEVBj8LRh/nHD7PW5GIIFahSWIJBtMtbU9DKe5MnieOVaJgbgBEajRJswzyqdpeUlrUY&#10;vVHJME2nSQu2NBa4cA5vH3sjncf4Ugrun6V0whNVUKzNx9PGcxvOZD5j+c4yU9X8VAb7hyoaVmtM&#10;egn1yDwje1v/EaqpuQUH0g84NAlIWXMRe8BusvRdN5uKGRF7QXCcucDk/l9Y/nTYmBdLfPcFOiQw&#10;ANIalzu8DP100jbhjZUStCOExwtsovOE4+U0G4+mwwklHG3Z6C6bphHY5Pq5sc5/FdCQIBTUwl6X&#10;35GciBk7rJ3HvOh/9gspNaxqpSJBSpMW84wmafzAgarLYAxuzu62S2XJgSHFw1F4QhMY7MYNNaXx&#10;8tpakHy37Uhd3rS9hfKIaFjoB8UZvqqx4jVz/oVZnAwEAKfdP+MhFWBRcJIoqcD++tt98EfC0EpJ&#10;i5NWUPdzz6ygRH3TSOXnbDwOoxmV8eRuiIq9tWxvLXrfLAE7zXCvDI9i8PfqLEoLzRsuxSJkRRPT&#10;HHMX1J/Fpe/nH5eKi8UiOuEwGubXemN4CB1wDVS8dm/MmhNpHvl+gvNMsvwdbb1vT9xi70HWkdOA&#10;c4/qCX4c5MjOaenCptzq0ev6a5j/BgAA//8DAFBLAwQUAAYACAAAACEAHrsBId0AAAAGAQAADwAA&#10;AGRycy9kb3ducmV2LnhtbEyPwU7DMBBE70j8g7VI3KidoLRpiFMBEuKAWkrhA5x4SSLidRS7bfh7&#10;lhMcd2Y087bczG4QJ5xC70lDslAgkBpve2o1fLw/3eQgQjRkzeAJNXxjgE11eVGawvozveHpEFvB&#10;JRQKo6GLcSykDE2HzoSFH5HY+/STM5HPqZV2Mmcud4NMlVpKZ3rihc6M+Nhh83U4Og17v929PK8f&#10;mjpTeZ7dqu3+NYlaX1/N93cgIs7xLwy/+IwOFTPV/kg2iEEDPxJZTUGwuV6uMhC1hjRZpSCrUv7H&#10;r34AAAD//wMAUEsBAi0AFAAGAAgAAAAhALaDOJL+AAAA4QEAABMAAAAAAAAAAAAAAAAAAAAAAFtD&#10;b250ZW50X1R5cGVzXS54bWxQSwECLQAUAAYACAAAACEAOP0h/9YAAACUAQAACwAAAAAAAAAAAAAA&#10;AAAvAQAAX3JlbHMvLnJlbHNQSwECLQAUAAYACAAAACEAjTwPHjYCAABiBAAADgAAAAAAAAAAAAAA&#10;AAAuAgAAZHJzL2Uyb0RvYy54bWxQSwECLQAUAAYACAAAACEAHrsBId0AAAAGAQAADwAAAAAAAAAA&#10;AAAAAACQBAAAZHJzL2Rvd25yZXYueG1sUEsFBgAAAAAEAAQA8wAAAJoFAAAAAA==&#10;">
                <v:textbox>
                  <w:txbxContent>
                    <w:p w:rsidRPr="007802A7" w:rsidR="007802A7" w:rsidP="007802A7" w:rsidRDefault="007802A7" w14:paraId="55DEFB25" w14:textId="77777777">
                      <w:pPr>
                        <w:rPr>
                          <w:rFonts w:ascii="Rubik" w:hAnsi="Rubik" w:eastAsia="Verdana" w:cs="Rubik"/>
                          <w:i/>
                          <w:iCs/>
                          <w:color w:val="232323"/>
                          <w:lang w:val="en-US"/>
                        </w:rPr>
                      </w:pPr>
                      <w:r w:rsidRPr="007802A7">
                        <w:rPr>
                          <w:rFonts w:hint="cs" w:ascii="Rubik" w:hAnsi="Rubik" w:eastAsia="Verdana" w:cs="Rubik"/>
                          <w:i/>
                          <w:iCs/>
                          <w:color w:val="232323"/>
                          <w:lang w:val="en-US"/>
                        </w:rPr>
                        <w:t xml:space="preserve">This resource was created in partnership with </w:t>
                      </w:r>
                      <w:hyperlink w:history="1" r:id="rId15">
                        <w:r w:rsidRPr="007802A7">
                          <w:rPr>
                            <w:rStyle w:val="Hyperlink"/>
                            <w:rFonts w:hint="cs" w:ascii="Rubik" w:hAnsi="Rubik" w:eastAsia="Verdana" w:cs="Rubik"/>
                            <w:i/>
                            <w:iCs/>
                            <w:lang w:val="en-US"/>
                          </w:rPr>
                          <w:t>Lynn Burman</w:t>
                        </w:r>
                      </w:hyperlink>
                      <w:r w:rsidRPr="007802A7">
                        <w:rPr>
                          <w:rFonts w:hint="cs" w:ascii="Rubik" w:hAnsi="Rubik" w:eastAsia="Verdana" w:cs="Rubik"/>
                          <w:i/>
                          <w:iCs/>
                          <w:color w:val="232323"/>
                          <w:lang w:val="en-US"/>
                        </w:rPr>
                        <w:t xml:space="preserve">, Commercial Director at </w:t>
                      </w:r>
                      <w:hyperlink w:history="1" r:id="rId16">
                        <w:r w:rsidRPr="007802A7">
                          <w:rPr>
                            <w:rStyle w:val="Hyperlink"/>
                            <w:rFonts w:hint="cs" w:ascii="Rubik" w:hAnsi="Rubik" w:eastAsia="Verdana" w:cs="Rubik"/>
                            <w:i/>
                            <w:iCs/>
                            <w:lang w:val="en-US"/>
                          </w:rPr>
                          <w:t>Clover HR</w:t>
                        </w:r>
                      </w:hyperlink>
                      <w:r w:rsidRPr="007802A7">
                        <w:rPr>
                          <w:rFonts w:hint="cs" w:ascii="Rubik" w:hAnsi="Rubik" w:eastAsia="Verdana" w:cs="Rubik"/>
                          <w:i/>
                          <w:iCs/>
                          <w:color w:val="232323"/>
                          <w:lang w:val="en-US"/>
                        </w:rPr>
                        <w:t xml:space="preserve">: an expert HR consultancy and trusted Breathe Partner. It’s intended as a general guide only. For the latest legal advice on redundancies, check out the full explainer from </w:t>
                      </w:r>
                      <w:hyperlink w:history="1" r:id="rId17">
                        <w:r w:rsidRPr="007802A7">
                          <w:rPr>
                            <w:rStyle w:val="Hyperlink"/>
                            <w:rFonts w:hint="cs" w:ascii="Rubik" w:hAnsi="Rubik" w:eastAsia="Verdana" w:cs="Rubik"/>
                            <w:i/>
                            <w:iCs/>
                            <w:lang w:val="en-US"/>
                          </w:rPr>
                          <w:t>Acas</w:t>
                        </w:r>
                      </w:hyperlink>
                      <w:r w:rsidRPr="007802A7">
                        <w:rPr>
                          <w:rFonts w:hint="cs" w:ascii="Rubik" w:hAnsi="Rubik" w:eastAsia="Verdana" w:cs="Rubik"/>
                          <w:i/>
                          <w:iCs/>
                          <w:color w:val="232323"/>
                          <w:lang w:val="en-US"/>
                        </w:rPr>
                        <w:t xml:space="preserve">. And if you’re considering a redundancy – or need HR advice of any kind – it’s always best to speak to an employment law specialist. You can </w:t>
                      </w:r>
                      <w:hyperlink w:history="1" r:id="rId18">
                        <w:r w:rsidRPr="007802A7">
                          <w:rPr>
                            <w:rStyle w:val="Hyperlink"/>
                            <w:rFonts w:hint="cs" w:ascii="Rubik" w:hAnsi="Rubik" w:eastAsia="Verdana" w:cs="Rubik"/>
                            <w:i/>
                            <w:iCs/>
                            <w:lang w:val="en-US"/>
                          </w:rPr>
                          <w:t>get in touch with Clover HR here</w:t>
                        </w:r>
                      </w:hyperlink>
                      <w:r w:rsidRPr="007802A7">
                        <w:rPr>
                          <w:rFonts w:hint="cs" w:ascii="Rubik" w:hAnsi="Rubik" w:eastAsia="Verdana" w:cs="Rubik"/>
                          <w:i/>
                          <w:iCs/>
                          <w:color w:val="232323"/>
                          <w:lang w:val="en-US"/>
                        </w:rPr>
                        <w:t xml:space="preserve"> or find additional support through our </w:t>
                      </w:r>
                      <w:hyperlink w:history="1" r:id="rId19">
                        <w:r w:rsidRPr="007802A7">
                          <w:rPr>
                            <w:rStyle w:val="Hyperlink"/>
                            <w:rFonts w:hint="cs" w:ascii="Rubik" w:hAnsi="Rubik" w:eastAsia="Verdana" w:cs="Rubik"/>
                            <w:i/>
                            <w:iCs/>
                            <w:lang w:val="en-US"/>
                          </w:rPr>
                          <w:t>Partner Directory</w:t>
                        </w:r>
                      </w:hyperlink>
                      <w:r w:rsidRPr="007802A7">
                        <w:rPr>
                          <w:rFonts w:hint="cs" w:ascii="Rubik" w:hAnsi="Rubik" w:eastAsia="Verdana" w:cs="Rubik"/>
                          <w:i/>
                          <w:iCs/>
                          <w:color w:val="232323"/>
                          <w:lang w:val="en-US"/>
                        </w:rPr>
                        <w:t xml:space="preserve">.  </w:t>
                      </w:r>
                    </w:p>
                    <w:p w:rsidR="000C1C96" w:rsidP="000C1C96" w:rsidRDefault="000C1C96" w14:paraId="672A6659" w14:textId="77777777"/>
                  </w:txbxContent>
                </v:textbox>
                <w10:wrap anchorx="margin"/>
              </v:roundrect>
            </w:pict>
          </mc:Fallback>
        </mc:AlternateContent>
      </w:r>
    </w:p>
    <w:p w14:paraId="735EB3EC" w14:textId="77777777" w:rsidR="000C1C96" w:rsidRDefault="000C1C96">
      <w:pPr>
        <w:rPr>
          <w:rFonts w:ascii="Rubik" w:eastAsia="Verdana" w:hAnsi="Rubik" w:cs="Rubik"/>
          <w:b/>
          <w:sz w:val="32"/>
          <w:szCs w:val="32"/>
        </w:rPr>
      </w:pPr>
    </w:p>
    <w:p w14:paraId="319A1068" w14:textId="77777777" w:rsidR="000C1C96" w:rsidRDefault="000C1C96">
      <w:pPr>
        <w:rPr>
          <w:rFonts w:ascii="Rubik" w:eastAsia="Verdana" w:hAnsi="Rubik" w:cs="Rubik"/>
          <w:b/>
          <w:sz w:val="32"/>
          <w:szCs w:val="32"/>
        </w:rPr>
      </w:pPr>
    </w:p>
    <w:p w14:paraId="4C496D7A" w14:textId="77777777" w:rsidR="000C1C96" w:rsidRDefault="000C1C96">
      <w:pPr>
        <w:rPr>
          <w:rFonts w:ascii="Rubik" w:eastAsia="Verdana" w:hAnsi="Rubik" w:cs="Rubik"/>
          <w:b/>
          <w:sz w:val="32"/>
          <w:szCs w:val="32"/>
        </w:rPr>
      </w:pPr>
    </w:p>
    <w:p w14:paraId="039659AC" w14:textId="77777777" w:rsidR="000C1C96" w:rsidRDefault="000C1C96">
      <w:pPr>
        <w:rPr>
          <w:rFonts w:ascii="Rubik" w:eastAsia="Verdana" w:hAnsi="Rubik" w:cs="Rubik"/>
          <w:b/>
          <w:sz w:val="32"/>
          <w:szCs w:val="32"/>
        </w:rPr>
      </w:pPr>
    </w:p>
    <w:p w14:paraId="320A7EB1" w14:textId="77777777" w:rsidR="00C550B1" w:rsidRDefault="00C550B1" w:rsidP="63DE7CB8">
      <w:pPr>
        <w:spacing w:before="200"/>
        <w:rPr>
          <w:rFonts w:ascii="Rubik" w:eastAsia="Verdana" w:hAnsi="Rubik" w:cs="Rubik"/>
          <w:color w:val="232323"/>
          <w:lang w:val="en-US"/>
        </w:rPr>
      </w:pPr>
    </w:p>
    <w:p w14:paraId="00000005" w14:textId="4D46D948" w:rsidR="00185AED" w:rsidRPr="000C1C96" w:rsidRDefault="00F149BE" w:rsidP="63DE7CB8">
      <w:pPr>
        <w:spacing w:before="200"/>
        <w:rPr>
          <w:rFonts w:ascii="Rubik" w:eastAsia="Verdana" w:hAnsi="Rubik" w:cs="Rubik"/>
          <w:color w:val="232323"/>
          <w:lang w:val="en-US"/>
        </w:rPr>
      </w:pPr>
      <w:r w:rsidRPr="000C1C96">
        <w:rPr>
          <w:rFonts w:ascii="Rubik" w:eastAsia="Verdana" w:hAnsi="Rubik" w:cs="Rubik" w:hint="cs"/>
          <w:color w:val="232323"/>
          <w:lang w:val="en-US"/>
        </w:rPr>
        <w:t xml:space="preserve">This checklist features a range of questions, considerations and processes you’ll need to follow during a redundancy process, across five main areas: </w:t>
      </w:r>
    </w:p>
    <w:p w14:paraId="00000006" w14:textId="77777777" w:rsidR="00185AED" w:rsidRPr="000C1C96" w:rsidRDefault="00F149BE">
      <w:pPr>
        <w:numPr>
          <w:ilvl w:val="0"/>
          <w:numId w:val="1"/>
        </w:numPr>
        <w:spacing w:before="200"/>
        <w:rPr>
          <w:rFonts w:ascii="Rubik" w:eastAsia="Verdana" w:hAnsi="Rubik" w:cs="Rubik"/>
          <w:color w:val="232323"/>
        </w:rPr>
      </w:pPr>
      <w:r w:rsidRPr="000C1C96">
        <w:rPr>
          <w:rFonts w:ascii="Rubik" w:eastAsia="Verdana" w:hAnsi="Rubik" w:cs="Rubik" w:hint="cs"/>
          <w:color w:val="232323"/>
        </w:rPr>
        <w:t>Preparing the ground</w:t>
      </w:r>
    </w:p>
    <w:p w14:paraId="00000007" w14:textId="77777777" w:rsidR="00185AED" w:rsidRPr="000C1C96" w:rsidRDefault="00F149BE">
      <w:pPr>
        <w:numPr>
          <w:ilvl w:val="0"/>
          <w:numId w:val="1"/>
        </w:numPr>
        <w:rPr>
          <w:rFonts w:ascii="Rubik" w:eastAsia="Verdana" w:hAnsi="Rubik" w:cs="Rubik"/>
          <w:color w:val="232323"/>
        </w:rPr>
      </w:pPr>
      <w:r w:rsidRPr="000C1C96">
        <w:rPr>
          <w:rFonts w:ascii="Rubik" w:eastAsia="Verdana" w:hAnsi="Rubik" w:cs="Rubik" w:hint="cs"/>
          <w:color w:val="232323"/>
        </w:rPr>
        <w:t xml:space="preserve">Consulting collectively </w:t>
      </w:r>
    </w:p>
    <w:p w14:paraId="00000008" w14:textId="77777777" w:rsidR="00185AED" w:rsidRPr="000C1C96" w:rsidRDefault="00F149BE">
      <w:pPr>
        <w:numPr>
          <w:ilvl w:val="0"/>
          <w:numId w:val="1"/>
        </w:numPr>
        <w:rPr>
          <w:rFonts w:ascii="Rubik" w:eastAsia="Verdana" w:hAnsi="Rubik" w:cs="Rubik"/>
          <w:color w:val="232323"/>
        </w:rPr>
      </w:pPr>
      <w:r w:rsidRPr="000C1C96">
        <w:rPr>
          <w:rFonts w:ascii="Rubik" w:eastAsia="Verdana" w:hAnsi="Rubik" w:cs="Rubik" w:hint="cs"/>
          <w:color w:val="232323"/>
        </w:rPr>
        <w:t>Notifying and scoring pooled candidates</w:t>
      </w:r>
    </w:p>
    <w:p w14:paraId="00000009" w14:textId="77777777" w:rsidR="00185AED" w:rsidRPr="000C1C96" w:rsidRDefault="00F149BE">
      <w:pPr>
        <w:numPr>
          <w:ilvl w:val="0"/>
          <w:numId w:val="1"/>
        </w:numPr>
        <w:rPr>
          <w:rFonts w:ascii="Rubik" w:eastAsia="Verdana" w:hAnsi="Rubik" w:cs="Rubik"/>
          <w:color w:val="232323"/>
        </w:rPr>
      </w:pPr>
      <w:r w:rsidRPr="000C1C96">
        <w:rPr>
          <w:rFonts w:ascii="Rubik" w:eastAsia="Verdana" w:hAnsi="Rubik" w:cs="Rubik" w:hint="cs"/>
          <w:color w:val="232323"/>
        </w:rPr>
        <w:t xml:space="preserve">Consulting with individuals </w:t>
      </w:r>
    </w:p>
    <w:p w14:paraId="0000000A" w14:textId="77777777" w:rsidR="00185AED" w:rsidRPr="000C1C96" w:rsidRDefault="00F149BE" w:rsidP="26A59E41">
      <w:pPr>
        <w:numPr>
          <w:ilvl w:val="0"/>
          <w:numId w:val="1"/>
        </w:numPr>
        <w:rPr>
          <w:rFonts w:ascii="Rubik" w:eastAsia="Verdana" w:hAnsi="Rubik" w:cs="Rubik"/>
          <w:color w:val="232323"/>
          <w:lang w:val="en-US"/>
        </w:rPr>
      </w:pPr>
      <w:r w:rsidRPr="26A59E41">
        <w:rPr>
          <w:rFonts w:ascii="Rubik" w:eastAsia="Verdana" w:hAnsi="Rubik" w:cs="Rubik"/>
          <w:color w:val="232323"/>
          <w:lang w:val="en-US"/>
        </w:rPr>
        <w:t xml:space="preserve">Finalising redundancies </w:t>
      </w:r>
    </w:p>
    <w:p w14:paraId="7AAE2E59" w14:textId="77777777" w:rsidR="000C1C96" w:rsidRPr="000C1C96" w:rsidRDefault="000C1C96">
      <w:pPr>
        <w:spacing w:before="200" w:after="200"/>
        <w:rPr>
          <w:rFonts w:ascii="Rubik" w:eastAsia="Verdana" w:hAnsi="Rubik" w:cs="Rubik"/>
          <w:b/>
          <w:color w:val="232323"/>
          <w:sz w:val="28"/>
          <w:szCs w:val="28"/>
          <w:highlight w:val="cyan"/>
        </w:rPr>
      </w:pPr>
    </w:p>
    <w:p w14:paraId="0000000B" w14:textId="3048FA11" w:rsidR="00185AED" w:rsidRPr="000C1C96" w:rsidRDefault="00F149BE">
      <w:pPr>
        <w:spacing w:before="200" w:after="200"/>
        <w:rPr>
          <w:rFonts w:ascii="Rubik" w:eastAsia="Verdana" w:hAnsi="Rubik" w:cs="Rubik"/>
          <w:b/>
          <w:color w:val="1370ED"/>
          <w:sz w:val="28"/>
          <w:szCs w:val="28"/>
        </w:rPr>
      </w:pPr>
      <w:r w:rsidRPr="000C1C96">
        <w:rPr>
          <w:rFonts w:ascii="Rubik" w:eastAsia="Verdana" w:hAnsi="Rubik" w:cs="Rubik" w:hint="cs"/>
          <w:b/>
          <w:color w:val="1370ED"/>
          <w:sz w:val="28"/>
          <w:szCs w:val="28"/>
        </w:rPr>
        <w:t>1. Preparing the ground:</w:t>
      </w:r>
    </w:p>
    <w:p w14:paraId="0000000C" w14:textId="77777777" w:rsidR="00185AED" w:rsidRPr="000C1C96" w:rsidRDefault="00F149BE" w:rsidP="63DE7CB8">
      <w:pPr>
        <w:spacing w:before="200" w:after="200"/>
        <w:rPr>
          <w:rFonts w:ascii="Rubik" w:eastAsia="Verdana" w:hAnsi="Rubik" w:cs="Rubik"/>
          <w:b/>
          <w:bCs/>
          <w:sz w:val="28"/>
          <w:szCs w:val="28"/>
          <w:lang w:val="en-US"/>
        </w:rPr>
      </w:pPr>
      <w:r w:rsidRPr="000C1C96">
        <w:rPr>
          <w:rFonts w:ascii="Rubik" w:eastAsia="Verdana" w:hAnsi="Rubik" w:cs="Rubik" w:hint="cs"/>
          <w:i/>
          <w:iCs/>
          <w:lang w:val="en-US"/>
        </w:rPr>
        <w:t xml:space="preserve">First, you’ll need to ask a series of questions about whether redundancy is the right choice for the company and, if so, how you’re going to go about doing it. </w:t>
      </w:r>
    </w:p>
    <w:p w14:paraId="0000000D" w14:textId="77777777" w:rsidR="00185AED" w:rsidRPr="000C1C96" w:rsidRDefault="00F149BE">
      <w:pPr>
        <w:numPr>
          <w:ilvl w:val="0"/>
          <w:numId w:val="2"/>
        </w:numPr>
        <w:rPr>
          <w:rFonts w:ascii="Rubik" w:eastAsia="Verdana" w:hAnsi="Rubik" w:cs="Rubik"/>
        </w:rPr>
      </w:pPr>
      <w:r w:rsidRPr="000C1C96">
        <w:rPr>
          <w:rFonts w:ascii="Rubik" w:eastAsia="Verdana" w:hAnsi="Rubik" w:cs="Rubik" w:hint="cs"/>
        </w:rPr>
        <w:t xml:space="preserve">Check that the situation can be considered a genuine legal redundancy. Compliant options include: </w:t>
      </w:r>
    </w:p>
    <w:p w14:paraId="0000000E" w14:textId="77777777" w:rsidR="00185AED" w:rsidRPr="000C1C96" w:rsidRDefault="00F149BE">
      <w:pPr>
        <w:numPr>
          <w:ilvl w:val="1"/>
          <w:numId w:val="2"/>
        </w:numPr>
        <w:rPr>
          <w:rFonts w:ascii="Rubik" w:eastAsia="Verdana" w:hAnsi="Rubik" w:cs="Rubik"/>
        </w:rPr>
      </w:pPr>
      <w:r w:rsidRPr="000C1C96">
        <w:rPr>
          <w:rFonts w:ascii="Rubik" w:eastAsia="Verdana" w:hAnsi="Rubik" w:cs="Rubik" w:hint="cs"/>
        </w:rPr>
        <w:t xml:space="preserve">Closure of the business </w:t>
      </w:r>
    </w:p>
    <w:p w14:paraId="0000000F" w14:textId="77777777" w:rsidR="00185AED" w:rsidRPr="000C1C96" w:rsidRDefault="00F149BE">
      <w:pPr>
        <w:numPr>
          <w:ilvl w:val="1"/>
          <w:numId w:val="2"/>
        </w:numPr>
        <w:rPr>
          <w:rFonts w:ascii="Rubik" w:eastAsia="Verdana" w:hAnsi="Rubik" w:cs="Rubik"/>
        </w:rPr>
      </w:pPr>
      <w:r w:rsidRPr="000C1C96">
        <w:rPr>
          <w:rFonts w:ascii="Rubik" w:eastAsia="Verdana" w:hAnsi="Rubik" w:cs="Rubik" w:hint="cs"/>
        </w:rPr>
        <w:t>Closure of the branch/office where the employee worked</w:t>
      </w:r>
    </w:p>
    <w:p w14:paraId="00000010" w14:textId="77777777" w:rsidR="00185AED" w:rsidRPr="000C1C96" w:rsidRDefault="00F149BE">
      <w:pPr>
        <w:numPr>
          <w:ilvl w:val="1"/>
          <w:numId w:val="2"/>
        </w:numPr>
        <w:rPr>
          <w:rFonts w:ascii="Rubik" w:eastAsia="Verdana" w:hAnsi="Rubik" w:cs="Rubik"/>
        </w:rPr>
      </w:pPr>
      <w:r w:rsidRPr="000C1C96">
        <w:rPr>
          <w:rFonts w:ascii="Rubik" w:eastAsia="Verdana" w:hAnsi="Rubik" w:cs="Rubik" w:hint="cs"/>
        </w:rPr>
        <w:t>A reduced requirement for employees to carry out a particular type of work</w:t>
      </w:r>
    </w:p>
    <w:p w14:paraId="00000011" w14:textId="77777777" w:rsidR="00185AED" w:rsidRPr="000C1C96" w:rsidRDefault="00F149BE" w:rsidP="63DE7CB8">
      <w:pPr>
        <w:numPr>
          <w:ilvl w:val="0"/>
          <w:numId w:val="2"/>
        </w:numPr>
        <w:spacing w:before="200" w:after="200"/>
        <w:rPr>
          <w:rFonts w:ascii="Rubik" w:eastAsia="Verdana" w:hAnsi="Rubik" w:cs="Rubik"/>
          <w:lang w:val="en-US"/>
        </w:rPr>
      </w:pPr>
      <w:r w:rsidRPr="000C1C96">
        <w:rPr>
          <w:rFonts w:ascii="Rubik" w:eastAsia="Verdana" w:hAnsi="Rubik" w:cs="Rubik" w:hint="cs"/>
          <w:lang w:val="en-US"/>
        </w:rPr>
        <w:t>Discuss potential alternatives to redundancy, e.g. pay freezes, reduced working hours, recruitment/pay freezes, overtime bans or reducing contractors.</w:t>
      </w:r>
    </w:p>
    <w:p w14:paraId="00000012" w14:textId="77777777" w:rsidR="00185AED" w:rsidRPr="000C1C96" w:rsidRDefault="00F149BE">
      <w:pPr>
        <w:numPr>
          <w:ilvl w:val="0"/>
          <w:numId w:val="2"/>
        </w:numPr>
        <w:spacing w:after="200"/>
        <w:rPr>
          <w:rFonts w:ascii="Rubik" w:eastAsia="Verdana" w:hAnsi="Rubik" w:cs="Rubik"/>
        </w:rPr>
      </w:pPr>
      <w:r w:rsidRPr="000C1C96">
        <w:rPr>
          <w:rFonts w:ascii="Rubik" w:eastAsia="Verdana" w:hAnsi="Rubik" w:cs="Rubik" w:hint="cs"/>
        </w:rPr>
        <w:t xml:space="preserve">Create an ‘at risk’ pool of potential candidates for redundancy. This should include all employees who undertake a similar type of work in a particular department or location, regardless of skill or tenure. </w:t>
      </w:r>
    </w:p>
    <w:p w14:paraId="00000013" w14:textId="77777777" w:rsidR="00185AED" w:rsidRPr="000C1C96" w:rsidRDefault="00F149BE">
      <w:pPr>
        <w:numPr>
          <w:ilvl w:val="0"/>
          <w:numId w:val="2"/>
        </w:numPr>
        <w:spacing w:after="200"/>
        <w:rPr>
          <w:rFonts w:ascii="Rubik" w:eastAsia="Verdana" w:hAnsi="Rubik" w:cs="Rubik"/>
        </w:rPr>
      </w:pPr>
      <w:r w:rsidRPr="000C1C96">
        <w:rPr>
          <w:rFonts w:ascii="Rubik" w:eastAsia="Verdana" w:hAnsi="Rubik" w:cs="Rubik" w:hint="cs"/>
        </w:rPr>
        <w:t>Consider whether voluntary redundancies or alternative positions in the company can be offered to ‘at risk’ candidates.</w:t>
      </w:r>
    </w:p>
    <w:p w14:paraId="00000014" w14:textId="77777777" w:rsidR="00185AED" w:rsidRPr="000C1C96" w:rsidRDefault="00F149BE" w:rsidP="63DE7CB8">
      <w:pPr>
        <w:numPr>
          <w:ilvl w:val="0"/>
          <w:numId w:val="2"/>
        </w:numPr>
        <w:spacing w:after="200"/>
        <w:rPr>
          <w:rFonts w:ascii="Rubik" w:eastAsia="Verdana" w:hAnsi="Rubik" w:cs="Rubik"/>
          <w:lang w:val="en-US"/>
        </w:rPr>
      </w:pPr>
      <w:r w:rsidRPr="000C1C96">
        <w:rPr>
          <w:rFonts w:ascii="Rubik" w:eastAsia="Verdana" w:hAnsi="Rubik" w:cs="Rubik" w:hint="cs"/>
          <w:lang w:val="en-US"/>
        </w:rPr>
        <w:t xml:space="preserve">Identify if any pooled candidates are pregnant, on maternity leave or on some other form of familial leave. Extra rules apply to these situations. </w:t>
      </w:r>
    </w:p>
    <w:p w14:paraId="00000015" w14:textId="77777777" w:rsidR="00185AED" w:rsidRPr="000C1C96" w:rsidRDefault="00F149BE">
      <w:pPr>
        <w:numPr>
          <w:ilvl w:val="0"/>
          <w:numId w:val="2"/>
        </w:numPr>
        <w:spacing w:after="200"/>
        <w:rPr>
          <w:rFonts w:ascii="Rubik" w:eastAsia="Verdana" w:hAnsi="Rubik" w:cs="Rubik"/>
        </w:rPr>
      </w:pPr>
      <w:r w:rsidRPr="000C1C96">
        <w:rPr>
          <w:rFonts w:ascii="Rubik" w:eastAsia="Verdana" w:hAnsi="Rubik" w:cs="Rubik" w:hint="cs"/>
        </w:rPr>
        <w:lastRenderedPageBreak/>
        <w:t xml:space="preserve">Establish a set of ‘objective criteria’ that can be used to fairly judge candidates. </w:t>
      </w:r>
    </w:p>
    <w:p w14:paraId="00000016" w14:textId="77777777" w:rsidR="00185AED" w:rsidRPr="000C1C96" w:rsidRDefault="00F149BE" w:rsidP="63DE7CB8">
      <w:pPr>
        <w:numPr>
          <w:ilvl w:val="0"/>
          <w:numId w:val="2"/>
        </w:numPr>
        <w:spacing w:after="200"/>
        <w:rPr>
          <w:rFonts w:ascii="Rubik" w:eastAsia="Verdana" w:hAnsi="Rubik" w:cs="Rubik"/>
          <w:lang w:val="en-US"/>
        </w:rPr>
      </w:pPr>
      <w:r w:rsidRPr="000C1C96">
        <w:rPr>
          <w:rFonts w:ascii="Rubik" w:eastAsia="Verdana" w:hAnsi="Rubik" w:cs="Rubik" w:hint="cs"/>
          <w:lang w:val="en-US"/>
        </w:rPr>
        <w:t>Ensure the selection criteria cannot be perceived to unfairly discriminate against any candidate based on characteristics like age, sex, marital status, race, disability, sexual orientation, religion or belief.</w:t>
      </w:r>
    </w:p>
    <w:p w14:paraId="3E886190" w14:textId="77777777" w:rsidR="000C1C96" w:rsidRDefault="000C1C96">
      <w:pPr>
        <w:spacing w:after="200"/>
        <w:rPr>
          <w:rFonts w:ascii="Rubik" w:eastAsia="Verdana" w:hAnsi="Rubik" w:cs="Rubik"/>
          <w:b/>
          <w:sz w:val="28"/>
          <w:szCs w:val="28"/>
          <w:highlight w:val="cyan"/>
        </w:rPr>
      </w:pPr>
    </w:p>
    <w:p w14:paraId="00000017" w14:textId="49042190" w:rsidR="00185AED" w:rsidRPr="000C1C96" w:rsidRDefault="00F149BE">
      <w:pPr>
        <w:spacing w:after="200"/>
        <w:rPr>
          <w:rFonts w:ascii="Rubik" w:eastAsia="Verdana" w:hAnsi="Rubik" w:cs="Rubik"/>
          <w:b/>
          <w:color w:val="1370ED"/>
          <w:sz w:val="28"/>
          <w:szCs w:val="28"/>
        </w:rPr>
      </w:pPr>
      <w:r w:rsidRPr="000C1C96">
        <w:rPr>
          <w:rFonts w:ascii="Rubik" w:eastAsia="Verdana" w:hAnsi="Rubik" w:cs="Rubik" w:hint="cs"/>
          <w:b/>
          <w:color w:val="1370ED"/>
          <w:sz w:val="28"/>
          <w:szCs w:val="28"/>
        </w:rPr>
        <w:t>2. Consulting collectively</w:t>
      </w:r>
    </w:p>
    <w:p w14:paraId="00000018" w14:textId="586BA74E" w:rsidR="00185AED" w:rsidRPr="000C1C96" w:rsidRDefault="00F149BE" w:rsidP="63DE7CB8">
      <w:pPr>
        <w:spacing w:after="200"/>
        <w:rPr>
          <w:rFonts w:ascii="Rubik" w:eastAsia="Verdana" w:hAnsi="Rubik" w:cs="Rubik"/>
          <w:i/>
          <w:iCs/>
          <w:lang w:val="en-US"/>
        </w:rPr>
      </w:pPr>
      <w:r w:rsidRPr="000C1C96">
        <w:rPr>
          <w:rFonts w:ascii="Rubik" w:eastAsia="Verdana" w:hAnsi="Rubik" w:cs="Rubik" w:hint="cs"/>
          <w:i/>
          <w:iCs/>
          <w:lang w:val="en-US"/>
        </w:rPr>
        <w:t xml:space="preserve">The rules in this section </w:t>
      </w:r>
      <w:r w:rsidRPr="000C1C96">
        <w:rPr>
          <w:rFonts w:ascii="Rubik" w:eastAsia="Verdana" w:hAnsi="Rubik" w:cs="Rubik" w:hint="cs"/>
          <w:b/>
          <w:bCs/>
          <w:i/>
          <w:iCs/>
          <w:lang w:val="en-US"/>
        </w:rPr>
        <w:t xml:space="preserve">only apply </w:t>
      </w:r>
      <w:r w:rsidRPr="000C1C96">
        <w:rPr>
          <w:rFonts w:ascii="Rubik" w:eastAsia="Verdana" w:hAnsi="Rubik" w:cs="Rubik" w:hint="cs"/>
          <w:i/>
          <w:iCs/>
          <w:lang w:val="en-US"/>
        </w:rPr>
        <w:t xml:space="preserve">if you’re making more than 20 employees redundant at one establishment within a single 90-day period. Currently ‘one establishment’ is defined as a single office, branch or premises, though the Employment Rights </w:t>
      </w:r>
      <w:r w:rsidR="00944957">
        <w:rPr>
          <w:rFonts w:ascii="Rubik" w:eastAsia="Verdana" w:hAnsi="Rubik" w:cs="Rubik"/>
          <w:i/>
          <w:iCs/>
          <w:lang w:val="en-US"/>
        </w:rPr>
        <w:t>Act</w:t>
      </w:r>
      <w:r w:rsidRPr="000C1C96">
        <w:rPr>
          <w:rFonts w:ascii="Rubik" w:eastAsia="Verdana" w:hAnsi="Rubik" w:cs="Rubik" w:hint="cs"/>
          <w:i/>
          <w:iCs/>
          <w:lang w:val="en-US"/>
        </w:rPr>
        <w:t xml:space="preserve"> will upgrade this to the whole </w:t>
      </w:r>
      <w:proofErr w:type="spellStart"/>
      <w:r w:rsidRPr="000C1C96">
        <w:rPr>
          <w:rFonts w:ascii="Rubik" w:eastAsia="Verdana" w:hAnsi="Rubik" w:cs="Rubik" w:hint="cs"/>
          <w:i/>
          <w:iCs/>
          <w:lang w:val="en-US"/>
        </w:rPr>
        <w:t>organisation</w:t>
      </w:r>
      <w:proofErr w:type="spellEnd"/>
      <w:r w:rsidRPr="000C1C96">
        <w:rPr>
          <w:rFonts w:ascii="Rubik" w:eastAsia="Verdana" w:hAnsi="Rubik" w:cs="Rubik" w:hint="cs"/>
          <w:i/>
          <w:iCs/>
          <w:lang w:val="en-US"/>
        </w:rPr>
        <w:t>.</w:t>
      </w:r>
    </w:p>
    <w:p w14:paraId="00000019" w14:textId="77777777" w:rsidR="00185AED" w:rsidRPr="000C1C96" w:rsidRDefault="00F149BE" w:rsidP="63DE7CB8">
      <w:pPr>
        <w:numPr>
          <w:ilvl w:val="0"/>
          <w:numId w:val="2"/>
        </w:numPr>
        <w:spacing w:after="200"/>
        <w:rPr>
          <w:rFonts w:ascii="Rubik" w:eastAsia="Verdana" w:hAnsi="Rubik" w:cs="Rubik"/>
          <w:lang w:val="en-US"/>
        </w:rPr>
      </w:pPr>
      <w:r w:rsidRPr="000C1C96">
        <w:rPr>
          <w:rFonts w:ascii="Rubik" w:eastAsia="Verdana" w:hAnsi="Rubik" w:cs="Rubik" w:hint="cs"/>
          <w:lang w:val="en-US"/>
        </w:rPr>
        <w:t xml:space="preserve">Inform the UK Government of your intention to make redundancies by filling out the H1 form </w:t>
      </w:r>
      <w:hyperlink r:id="rId20">
        <w:r w:rsidRPr="000C1C96">
          <w:rPr>
            <w:rFonts w:ascii="Rubik" w:eastAsia="Verdana" w:hAnsi="Rubik" w:cs="Rubik" w:hint="cs"/>
            <w:color w:val="1155CC"/>
            <w:u w:val="single"/>
            <w:lang w:val="en-US"/>
          </w:rPr>
          <w:t>on the Government website</w:t>
        </w:r>
      </w:hyperlink>
      <w:r w:rsidRPr="000C1C96">
        <w:rPr>
          <w:rFonts w:ascii="Rubik" w:eastAsia="Verdana" w:hAnsi="Rubik" w:cs="Rubik" w:hint="cs"/>
          <w:lang w:val="en-US"/>
        </w:rPr>
        <w:t xml:space="preserve">. This must be completed at least 30 days before redundancies take effect, or 45 days if more than 100 employees are being made redundant. </w:t>
      </w:r>
    </w:p>
    <w:p w14:paraId="0000001A" w14:textId="77777777" w:rsidR="00185AED" w:rsidRPr="000C1C96" w:rsidRDefault="00F149BE" w:rsidP="63DE7CB8">
      <w:pPr>
        <w:numPr>
          <w:ilvl w:val="0"/>
          <w:numId w:val="2"/>
        </w:numPr>
        <w:rPr>
          <w:rFonts w:ascii="Rubik" w:eastAsia="Verdana" w:hAnsi="Rubik" w:cs="Rubik"/>
          <w:lang w:val="en-US"/>
        </w:rPr>
      </w:pPr>
      <w:r w:rsidRPr="000C1C96">
        <w:rPr>
          <w:rFonts w:ascii="Rubik" w:eastAsia="Verdana" w:hAnsi="Rubik" w:cs="Rubik" w:hint="cs"/>
          <w:lang w:val="en-US"/>
        </w:rPr>
        <w:t>Establish what representation employees will have during collective consultation and, if chosen, in individual meetings. Choose option A or B:</w:t>
      </w:r>
    </w:p>
    <w:p w14:paraId="0000001B" w14:textId="77777777" w:rsidR="00185AED" w:rsidRPr="000C1C96" w:rsidRDefault="00F149BE">
      <w:pPr>
        <w:numPr>
          <w:ilvl w:val="1"/>
          <w:numId w:val="2"/>
        </w:numPr>
        <w:rPr>
          <w:rFonts w:ascii="Rubik" w:eastAsia="Verdana" w:hAnsi="Rubik" w:cs="Rubik"/>
        </w:rPr>
      </w:pPr>
      <w:r w:rsidRPr="000C1C96">
        <w:rPr>
          <w:rFonts w:ascii="Rubik" w:eastAsia="Verdana" w:hAnsi="Rubik" w:cs="Rubik" w:hint="cs"/>
        </w:rPr>
        <w:t>A) Identify an independent trade union to consult with</w:t>
      </w:r>
    </w:p>
    <w:p w14:paraId="0000001C" w14:textId="77777777" w:rsidR="00185AED" w:rsidRPr="000C1C96" w:rsidRDefault="00F149BE">
      <w:pPr>
        <w:numPr>
          <w:ilvl w:val="1"/>
          <w:numId w:val="2"/>
        </w:numPr>
        <w:spacing w:after="200"/>
        <w:rPr>
          <w:rFonts w:ascii="Rubik" w:eastAsia="Verdana" w:hAnsi="Rubik" w:cs="Rubik"/>
        </w:rPr>
      </w:pPr>
      <w:r w:rsidRPr="000C1C96">
        <w:rPr>
          <w:rFonts w:ascii="Rubik" w:eastAsia="Verdana" w:hAnsi="Rubik" w:cs="Rubik" w:hint="cs"/>
        </w:rPr>
        <w:t>B) Hold elections for employee representatives, decided by ‘at risk’ candidates</w:t>
      </w:r>
    </w:p>
    <w:p w14:paraId="0000001D" w14:textId="77777777" w:rsidR="00185AED" w:rsidRPr="000C1C96" w:rsidRDefault="00F149BE" w:rsidP="63DE7CB8">
      <w:pPr>
        <w:numPr>
          <w:ilvl w:val="0"/>
          <w:numId w:val="2"/>
        </w:numPr>
        <w:rPr>
          <w:rFonts w:ascii="Rubik" w:eastAsia="Verdana" w:hAnsi="Rubik" w:cs="Rubik"/>
          <w:lang w:val="en-US"/>
        </w:rPr>
      </w:pPr>
      <w:r w:rsidRPr="000C1C96">
        <w:rPr>
          <w:rFonts w:ascii="Rubik" w:eastAsia="Verdana" w:hAnsi="Rubik" w:cs="Rubik" w:hint="cs"/>
          <w:lang w:val="en-US"/>
        </w:rPr>
        <w:t>Officially submit the following information to the relevant trade union/employee representatives before collective consultation begins:</w:t>
      </w:r>
    </w:p>
    <w:p w14:paraId="0000001E" w14:textId="77777777" w:rsidR="00185AED" w:rsidRPr="000C1C96" w:rsidRDefault="00F149BE">
      <w:pPr>
        <w:numPr>
          <w:ilvl w:val="1"/>
          <w:numId w:val="2"/>
        </w:numPr>
        <w:rPr>
          <w:rFonts w:ascii="Rubik" w:eastAsia="Verdana" w:hAnsi="Rubik" w:cs="Rubik"/>
        </w:rPr>
      </w:pPr>
      <w:r w:rsidRPr="000C1C96">
        <w:rPr>
          <w:rFonts w:ascii="Rubik" w:eastAsia="Verdana" w:hAnsi="Rubik" w:cs="Rubik" w:hint="cs"/>
        </w:rPr>
        <w:t xml:space="preserve">A copy of the HR1 form sent to the Government </w:t>
      </w:r>
    </w:p>
    <w:p w14:paraId="0000001F" w14:textId="77777777" w:rsidR="00185AED" w:rsidRPr="000C1C96" w:rsidRDefault="00F149BE">
      <w:pPr>
        <w:numPr>
          <w:ilvl w:val="1"/>
          <w:numId w:val="2"/>
        </w:numPr>
        <w:rPr>
          <w:rFonts w:ascii="Rubik" w:eastAsia="Verdana" w:hAnsi="Rubik" w:cs="Rubik"/>
        </w:rPr>
      </w:pPr>
      <w:r w:rsidRPr="000C1C96">
        <w:rPr>
          <w:rFonts w:ascii="Rubik" w:eastAsia="Verdana" w:hAnsi="Rubik" w:cs="Rubik" w:hint="cs"/>
        </w:rPr>
        <w:t>Reasons for redundancy proposals</w:t>
      </w:r>
    </w:p>
    <w:p w14:paraId="00000020" w14:textId="77777777" w:rsidR="00185AED" w:rsidRPr="000C1C96" w:rsidRDefault="00F149BE">
      <w:pPr>
        <w:numPr>
          <w:ilvl w:val="1"/>
          <w:numId w:val="2"/>
        </w:numPr>
        <w:rPr>
          <w:rFonts w:ascii="Rubik" w:eastAsia="Verdana" w:hAnsi="Rubik" w:cs="Rubik"/>
        </w:rPr>
      </w:pPr>
      <w:r w:rsidRPr="000C1C96">
        <w:rPr>
          <w:rFonts w:ascii="Rubik" w:eastAsia="Verdana" w:hAnsi="Rubik" w:cs="Rubik" w:hint="cs"/>
        </w:rPr>
        <w:t>Numbers and type of jobs at risk, including the total selection pool</w:t>
      </w:r>
    </w:p>
    <w:p w14:paraId="00000021" w14:textId="77777777" w:rsidR="00185AED" w:rsidRPr="000C1C96" w:rsidRDefault="00F149BE">
      <w:pPr>
        <w:numPr>
          <w:ilvl w:val="1"/>
          <w:numId w:val="2"/>
        </w:numPr>
        <w:rPr>
          <w:rFonts w:ascii="Rubik" w:eastAsia="Verdana" w:hAnsi="Rubik" w:cs="Rubik"/>
        </w:rPr>
      </w:pPr>
      <w:r w:rsidRPr="000C1C96">
        <w:rPr>
          <w:rFonts w:ascii="Rubik" w:eastAsia="Verdana" w:hAnsi="Rubik" w:cs="Rubik" w:hint="cs"/>
        </w:rPr>
        <w:t>The scoring criteria, including methods and timescales</w:t>
      </w:r>
    </w:p>
    <w:p w14:paraId="00000022" w14:textId="77777777" w:rsidR="00185AED" w:rsidRPr="000C1C96" w:rsidRDefault="00F149BE">
      <w:pPr>
        <w:numPr>
          <w:ilvl w:val="1"/>
          <w:numId w:val="2"/>
        </w:numPr>
        <w:rPr>
          <w:rFonts w:ascii="Rubik" w:eastAsia="Verdana" w:hAnsi="Rubik" w:cs="Rubik"/>
        </w:rPr>
      </w:pPr>
      <w:r w:rsidRPr="000C1C96">
        <w:rPr>
          <w:rFonts w:ascii="Rubik" w:eastAsia="Verdana" w:hAnsi="Rubik" w:cs="Rubik" w:hint="cs"/>
        </w:rPr>
        <w:t>The redundancy packages to be agreed</w:t>
      </w:r>
    </w:p>
    <w:p w14:paraId="00000023" w14:textId="77777777" w:rsidR="00185AED" w:rsidRPr="000C1C96" w:rsidRDefault="00F149BE" w:rsidP="5AE0588C">
      <w:pPr>
        <w:numPr>
          <w:ilvl w:val="0"/>
          <w:numId w:val="2"/>
        </w:numPr>
        <w:spacing w:before="200"/>
        <w:rPr>
          <w:rFonts w:ascii="Rubik" w:eastAsia="Verdana" w:hAnsi="Rubik" w:cs="Rubik"/>
          <w:lang w:val="en-US"/>
        </w:rPr>
      </w:pPr>
      <w:r w:rsidRPr="5AE0588C">
        <w:rPr>
          <w:rFonts w:ascii="Rubik" w:eastAsia="Verdana" w:hAnsi="Rubik" w:cs="Rubik"/>
          <w:lang w:val="en-US"/>
        </w:rPr>
        <w:t>Hold a collective consultation meeting with trade union and/or employee representatives. These discussions should be meaningful and held in good faith, and involve:</w:t>
      </w:r>
    </w:p>
    <w:p w14:paraId="00000024" w14:textId="77777777" w:rsidR="00185AED" w:rsidRPr="000C1C96" w:rsidRDefault="00F149BE">
      <w:pPr>
        <w:numPr>
          <w:ilvl w:val="1"/>
          <w:numId w:val="2"/>
        </w:numPr>
        <w:rPr>
          <w:rFonts w:ascii="Rubik" w:eastAsia="Verdana" w:hAnsi="Rubik" w:cs="Rubik"/>
        </w:rPr>
      </w:pPr>
      <w:r w:rsidRPr="000C1C96">
        <w:rPr>
          <w:rFonts w:ascii="Rubik" w:eastAsia="Verdana" w:hAnsi="Rubik" w:cs="Rubik" w:hint="cs"/>
        </w:rPr>
        <w:t>Discussing alternatives to redundancy and ways to mitigate the impact</w:t>
      </w:r>
    </w:p>
    <w:p w14:paraId="00000025" w14:textId="77777777" w:rsidR="00185AED" w:rsidRPr="000C1C96" w:rsidRDefault="00F149BE">
      <w:pPr>
        <w:numPr>
          <w:ilvl w:val="1"/>
          <w:numId w:val="2"/>
        </w:numPr>
        <w:rPr>
          <w:rFonts w:ascii="Rubik" w:eastAsia="Verdana" w:hAnsi="Rubik" w:cs="Rubik"/>
        </w:rPr>
      </w:pPr>
      <w:r w:rsidRPr="000C1C96">
        <w:rPr>
          <w:rFonts w:ascii="Rubik" w:eastAsia="Verdana" w:hAnsi="Rubik" w:cs="Rubik" w:hint="cs"/>
        </w:rPr>
        <w:t>Considering what voluntary redundancy or alternative internal employment options might be available</w:t>
      </w:r>
    </w:p>
    <w:p w14:paraId="00000026" w14:textId="77777777" w:rsidR="00185AED" w:rsidRPr="000C1C96" w:rsidRDefault="00F149BE" w:rsidP="63DE7CB8">
      <w:pPr>
        <w:numPr>
          <w:ilvl w:val="1"/>
          <w:numId w:val="2"/>
        </w:numPr>
        <w:rPr>
          <w:rFonts w:ascii="Rubik" w:eastAsia="Verdana" w:hAnsi="Rubik" w:cs="Rubik"/>
          <w:lang w:val="en-US"/>
        </w:rPr>
      </w:pPr>
      <w:r w:rsidRPr="000C1C96">
        <w:rPr>
          <w:rFonts w:ascii="Rubik" w:eastAsia="Verdana" w:hAnsi="Rubik" w:cs="Rubik" w:hint="cs"/>
          <w:lang w:val="en-US"/>
        </w:rPr>
        <w:t>Confirming the number of candidates to be made redundant and the selection pool from which they’ll be chosen</w:t>
      </w:r>
    </w:p>
    <w:p w14:paraId="00000027" w14:textId="77777777" w:rsidR="00185AED" w:rsidRPr="000C1C96" w:rsidRDefault="00F149BE">
      <w:pPr>
        <w:numPr>
          <w:ilvl w:val="1"/>
          <w:numId w:val="2"/>
        </w:numPr>
        <w:rPr>
          <w:rFonts w:ascii="Rubik" w:eastAsia="Verdana" w:hAnsi="Rubik" w:cs="Rubik"/>
        </w:rPr>
      </w:pPr>
      <w:r w:rsidRPr="000C1C96">
        <w:rPr>
          <w:rFonts w:ascii="Rubik" w:eastAsia="Verdana" w:hAnsi="Rubik" w:cs="Rubik" w:hint="cs"/>
        </w:rPr>
        <w:t>Agreeing the scoring system</w:t>
      </w:r>
    </w:p>
    <w:p w14:paraId="275E09B4" w14:textId="77777777" w:rsidR="000C1C96" w:rsidRDefault="000C1C96">
      <w:pPr>
        <w:spacing w:before="200" w:after="200"/>
        <w:rPr>
          <w:rFonts w:ascii="Rubik" w:eastAsia="Verdana" w:hAnsi="Rubik" w:cs="Rubik"/>
          <w:b/>
          <w:sz w:val="28"/>
          <w:szCs w:val="28"/>
          <w:highlight w:val="cyan"/>
        </w:rPr>
      </w:pPr>
    </w:p>
    <w:p w14:paraId="78E9C195" w14:textId="77777777" w:rsidR="000C1C96" w:rsidRDefault="000C1C96">
      <w:pPr>
        <w:spacing w:before="200" w:after="200"/>
        <w:rPr>
          <w:rFonts w:ascii="Rubik" w:eastAsia="Verdana" w:hAnsi="Rubik" w:cs="Rubik"/>
          <w:b/>
          <w:color w:val="1370ED"/>
          <w:sz w:val="28"/>
          <w:szCs w:val="28"/>
        </w:rPr>
      </w:pPr>
    </w:p>
    <w:p w14:paraId="348CBCBC" w14:textId="77777777" w:rsidR="000C1C96" w:rsidRDefault="000C1C96">
      <w:pPr>
        <w:spacing w:before="200" w:after="200"/>
        <w:rPr>
          <w:rFonts w:ascii="Rubik" w:eastAsia="Verdana" w:hAnsi="Rubik" w:cs="Rubik"/>
          <w:b/>
          <w:color w:val="1370ED"/>
          <w:sz w:val="28"/>
          <w:szCs w:val="28"/>
        </w:rPr>
      </w:pPr>
    </w:p>
    <w:p w14:paraId="7B43103D" w14:textId="77777777" w:rsidR="000C1C96" w:rsidRDefault="000C1C96">
      <w:pPr>
        <w:spacing w:before="200" w:after="200"/>
        <w:rPr>
          <w:rFonts w:ascii="Rubik" w:eastAsia="Verdana" w:hAnsi="Rubik" w:cs="Rubik"/>
          <w:b/>
          <w:color w:val="1370ED"/>
          <w:sz w:val="28"/>
          <w:szCs w:val="28"/>
        </w:rPr>
      </w:pPr>
    </w:p>
    <w:p w14:paraId="00000028" w14:textId="1631457A" w:rsidR="00185AED" w:rsidRPr="000C1C96" w:rsidRDefault="00F149BE">
      <w:pPr>
        <w:spacing w:before="200" w:after="200"/>
        <w:rPr>
          <w:rFonts w:ascii="Rubik" w:eastAsia="Verdana" w:hAnsi="Rubik" w:cs="Rubik"/>
          <w:b/>
          <w:color w:val="1370ED"/>
          <w:sz w:val="28"/>
          <w:szCs w:val="28"/>
        </w:rPr>
      </w:pPr>
      <w:r w:rsidRPr="000C1C96">
        <w:rPr>
          <w:rFonts w:ascii="Rubik" w:eastAsia="Verdana" w:hAnsi="Rubik" w:cs="Rubik" w:hint="cs"/>
          <w:b/>
          <w:color w:val="1370ED"/>
          <w:sz w:val="28"/>
          <w:szCs w:val="28"/>
        </w:rPr>
        <w:t>3. Notifying and scoring pooled candidates</w:t>
      </w:r>
    </w:p>
    <w:p w14:paraId="00000029" w14:textId="77777777" w:rsidR="00185AED" w:rsidRPr="000C1C96" w:rsidRDefault="00F149BE">
      <w:pPr>
        <w:spacing w:before="200" w:after="200"/>
        <w:rPr>
          <w:rFonts w:ascii="Rubik" w:eastAsia="Verdana" w:hAnsi="Rubik" w:cs="Rubik"/>
          <w:b/>
          <w:sz w:val="28"/>
          <w:szCs w:val="28"/>
        </w:rPr>
      </w:pPr>
      <w:r w:rsidRPr="000C1C96">
        <w:rPr>
          <w:rFonts w:ascii="Rubik" w:eastAsia="Verdana" w:hAnsi="Rubik" w:cs="Rubik" w:hint="cs"/>
          <w:i/>
        </w:rPr>
        <w:t xml:space="preserve">Before confirming individual redundancies, you should score all candidates fairly and objectively. </w:t>
      </w:r>
    </w:p>
    <w:p w14:paraId="0000002A" w14:textId="77777777" w:rsidR="00185AED" w:rsidRPr="000C1C96" w:rsidRDefault="00F149BE" w:rsidP="5AE0588C">
      <w:pPr>
        <w:numPr>
          <w:ilvl w:val="0"/>
          <w:numId w:val="2"/>
        </w:numPr>
        <w:rPr>
          <w:rFonts w:ascii="Rubik" w:eastAsia="Verdana" w:hAnsi="Rubik" w:cs="Rubik"/>
          <w:lang w:val="en-US"/>
        </w:rPr>
      </w:pPr>
      <w:r w:rsidRPr="5AE0588C">
        <w:rPr>
          <w:rFonts w:ascii="Rubik" w:eastAsia="Verdana" w:hAnsi="Rubik" w:cs="Rubik"/>
          <w:lang w:val="en-US"/>
        </w:rPr>
        <w:t>Hold a group meeting with all pooled candidates. You should discuss:</w:t>
      </w:r>
    </w:p>
    <w:p w14:paraId="0000002B" w14:textId="77777777" w:rsidR="00185AED" w:rsidRPr="000C1C96" w:rsidRDefault="00F149BE">
      <w:pPr>
        <w:numPr>
          <w:ilvl w:val="1"/>
          <w:numId w:val="2"/>
        </w:numPr>
        <w:rPr>
          <w:rFonts w:ascii="Rubik" w:eastAsia="Verdana" w:hAnsi="Rubik" w:cs="Rubik"/>
        </w:rPr>
      </w:pPr>
      <w:r w:rsidRPr="000C1C96">
        <w:rPr>
          <w:rFonts w:ascii="Rubik" w:eastAsia="Verdana" w:hAnsi="Rubik" w:cs="Rubik" w:hint="cs"/>
        </w:rPr>
        <w:t>The reasons for redundancy</w:t>
      </w:r>
    </w:p>
    <w:p w14:paraId="0000002C" w14:textId="77777777" w:rsidR="00185AED" w:rsidRPr="000C1C96" w:rsidRDefault="00F149BE">
      <w:pPr>
        <w:numPr>
          <w:ilvl w:val="1"/>
          <w:numId w:val="2"/>
        </w:numPr>
        <w:rPr>
          <w:rFonts w:ascii="Rubik" w:eastAsia="Verdana" w:hAnsi="Rubik" w:cs="Rubik"/>
        </w:rPr>
      </w:pPr>
      <w:r w:rsidRPr="000C1C96">
        <w:rPr>
          <w:rFonts w:ascii="Rubik" w:eastAsia="Verdana" w:hAnsi="Rubik" w:cs="Rubik" w:hint="cs"/>
        </w:rPr>
        <w:t>How many redundancies are being made and in which departments</w:t>
      </w:r>
    </w:p>
    <w:p w14:paraId="0000002D" w14:textId="77777777" w:rsidR="00185AED" w:rsidRPr="000C1C96" w:rsidRDefault="00F149BE">
      <w:pPr>
        <w:numPr>
          <w:ilvl w:val="1"/>
          <w:numId w:val="2"/>
        </w:numPr>
        <w:rPr>
          <w:rFonts w:ascii="Rubik" w:eastAsia="Verdana" w:hAnsi="Rubik" w:cs="Rubik"/>
        </w:rPr>
      </w:pPr>
      <w:r w:rsidRPr="000C1C96">
        <w:rPr>
          <w:rFonts w:ascii="Rubik" w:eastAsia="Verdana" w:hAnsi="Rubik" w:cs="Rubik" w:hint="cs"/>
        </w:rPr>
        <w:t>Reinforce that no decisions have been made on individual candidates for redundancy</w:t>
      </w:r>
    </w:p>
    <w:p w14:paraId="0000002E" w14:textId="77777777" w:rsidR="00185AED" w:rsidRPr="000C1C96" w:rsidRDefault="00F149BE" w:rsidP="63DE7CB8">
      <w:pPr>
        <w:numPr>
          <w:ilvl w:val="1"/>
          <w:numId w:val="2"/>
        </w:numPr>
        <w:rPr>
          <w:rFonts w:ascii="Rubik" w:eastAsia="Verdana" w:hAnsi="Rubik" w:cs="Rubik"/>
          <w:lang w:val="en-US"/>
        </w:rPr>
      </w:pPr>
      <w:r w:rsidRPr="000C1C96">
        <w:rPr>
          <w:rFonts w:ascii="Rubik" w:eastAsia="Verdana" w:hAnsi="Rubik" w:cs="Rubik" w:hint="cs"/>
          <w:lang w:val="en-US"/>
        </w:rPr>
        <w:t>Additional ways to avoid redundancies, taking suggestions from employees</w:t>
      </w:r>
    </w:p>
    <w:p w14:paraId="0000002F" w14:textId="77777777" w:rsidR="00185AED" w:rsidRPr="000C1C96" w:rsidRDefault="00F149BE" w:rsidP="63DE7CB8">
      <w:pPr>
        <w:numPr>
          <w:ilvl w:val="1"/>
          <w:numId w:val="2"/>
        </w:numPr>
        <w:rPr>
          <w:rFonts w:ascii="Rubik" w:eastAsia="Verdana" w:hAnsi="Rubik" w:cs="Rubik"/>
          <w:lang w:val="en-US"/>
        </w:rPr>
      </w:pPr>
      <w:r w:rsidRPr="000C1C96">
        <w:rPr>
          <w:rFonts w:ascii="Rubik" w:eastAsia="Verdana" w:hAnsi="Rubik" w:cs="Rubik" w:hint="cs"/>
          <w:lang w:val="en-US"/>
        </w:rPr>
        <w:t>If voluntary redundancy is an option and, if so, who is eligible</w:t>
      </w:r>
    </w:p>
    <w:p w14:paraId="00000030" w14:textId="77777777" w:rsidR="00185AED" w:rsidRPr="000C1C96" w:rsidRDefault="00F149BE" w:rsidP="63DE7CB8">
      <w:pPr>
        <w:numPr>
          <w:ilvl w:val="1"/>
          <w:numId w:val="2"/>
        </w:numPr>
        <w:spacing w:after="200"/>
        <w:rPr>
          <w:rFonts w:ascii="Rubik" w:eastAsia="Verdana" w:hAnsi="Rubik" w:cs="Rubik"/>
          <w:lang w:val="en-US"/>
        </w:rPr>
      </w:pPr>
      <w:r w:rsidRPr="000C1C96">
        <w:rPr>
          <w:rFonts w:ascii="Rubik" w:eastAsia="Verdana" w:hAnsi="Rubik" w:cs="Rubik" w:hint="cs"/>
          <w:lang w:val="en-US"/>
        </w:rPr>
        <w:t>Remind candidates they have the right to take time off to search for additional work</w:t>
      </w:r>
    </w:p>
    <w:p w14:paraId="00000031" w14:textId="77777777" w:rsidR="00185AED" w:rsidRPr="000C1C96" w:rsidRDefault="00F149BE" w:rsidP="63DE7CB8">
      <w:pPr>
        <w:numPr>
          <w:ilvl w:val="0"/>
          <w:numId w:val="2"/>
        </w:numPr>
        <w:spacing w:after="200"/>
        <w:rPr>
          <w:rFonts w:ascii="Rubik" w:eastAsia="Verdana" w:hAnsi="Rubik" w:cs="Rubik"/>
          <w:lang w:val="en-US"/>
        </w:rPr>
      </w:pPr>
      <w:r w:rsidRPr="000C1C96">
        <w:rPr>
          <w:rFonts w:ascii="Rubik" w:eastAsia="Verdana" w:hAnsi="Rubik" w:cs="Rubik" w:hint="cs"/>
          <w:lang w:val="en-US"/>
        </w:rPr>
        <w:t xml:space="preserve">Issue a </w:t>
      </w:r>
      <w:r w:rsidRPr="000C1C96">
        <w:rPr>
          <w:rFonts w:ascii="Rubik" w:eastAsia="Verdana" w:hAnsi="Rubik" w:cs="Rubik" w:hint="cs"/>
          <w:b/>
          <w:bCs/>
          <w:lang w:val="en-US"/>
        </w:rPr>
        <w:t>first letter</w:t>
      </w:r>
      <w:r w:rsidRPr="000C1C96">
        <w:rPr>
          <w:rFonts w:ascii="Rubik" w:eastAsia="Verdana" w:hAnsi="Rubik" w:cs="Rubik" w:hint="cs"/>
          <w:lang w:val="en-US"/>
        </w:rPr>
        <w:t xml:space="preserve"> to all candidates in the selection pool to confirm they are ‘at risk’. This should confirm in writing all information discussed in the meeting. </w:t>
      </w:r>
    </w:p>
    <w:p w14:paraId="00000032" w14:textId="77777777" w:rsidR="00185AED" w:rsidRPr="000C1C96" w:rsidRDefault="00F149BE" w:rsidP="63DE7CB8">
      <w:pPr>
        <w:numPr>
          <w:ilvl w:val="0"/>
          <w:numId w:val="2"/>
        </w:numPr>
        <w:spacing w:after="200"/>
        <w:rPr>
          <w:rFonts w:ascii="Rubik" w:eastAsia="Verdana" w:hAnsi="Rubik" w:cs="Rubik"/>
          <w:lang w:val="en-US"/>
        </w:rPr>
      </w:pPr>
      <w:r w:rsidRPr="000C1C96">
        <w:rPr>
          <w:rFonts w:ascii="Rubik" w:eastAsia="Verdana" w:hAnsi="Rubik" w:cs="Rubik" w:hint="cs"/>
          <w:lang w:val="en-US"/>
        </w:rPr>
        <w:t>Score each candidate, ideally involving input from at least two separate managers. Then, you can identify ‘provisional candidates’ for redundancy based on these scores.</w:t>
      </w:r>
    </w:p>
    <w:p w14:paraId="6A15123F" w14:textId="77777777" w:rsidR="000C1C96" w:rsidRDefault="000C1C96">
      <w:pPr>
        <w:spacing w:after="200"/>
        <w:rPr>
          <w:rFonts w:ascii="Rubik" w:eastAsia="Verdana" w:hAnsi="Rubik" w:cs="Rubik"/>
          <w:b/>
          <w:sz w:val="28"/>
          <w:szCs w:val="28"/>
          <w:highlight w:val="cyan"/>
        </w:rPr>
      </w:pPr>
    </w:p>
    <w:p w14:paraId="00000033" w14:textId="5DA6FBC1" w:rsidR="00185AED" w:rsidRPr="000C1C96" w:rsidRDefault="00F149BE">
      <w:pPr>
        <w:spacing w:after="200"/>
        <w:rPr>
          <w:rFonts w:ascii="Rubik" w:eastAsia="Verdana" w:hAnsi="Rubik" w:cs="Rubik"/>
          <w:b/>
          <w:color w:val="1370ED"/>
          <w:sz w:val="28"/>
          <w:szCs w:val="28"/>
        </w:rPr>
      </w:pPr>
      <w:r w:rsidRPr="000C1C96">
        <w:rPr>
          <w:rFonts w:ascii="Rubik" w:eastAsia="Verdana" w:hAnsi="Rubik" w:cs="Rubik" w:hint="cs"/>
          <w:b/>
          <w:color w:val="1370ED"/>
          <w:sz w:val="28"/>
          <w:szCs w:val="28"/>
        </w:rPr>
        <w:t>4. Consulting with individuals</w:t>
      </w:r>
    </w:p>
    <w:p w14:paraId="00000034" w14:textId="77777777" w:rsidR="00185AED" w:rsidRPr="000C1C96" w:rsidRDefault="00F149BE">
      <w:pPr>
        <w:spacing w:before="200" w:after="200"/>
        <w:rPr>
          <w:rFonts w:ascii="Rubik" w:eastAsia="Verdana" w:hAnsi="Rubik" w:cs="Rubik"/>
          <w:b/>
          <w:color w:val="232323"/>
          <w:sz w:val="28"/>
          <w:szCs w:val="28"/>
        </w:rPr>
      </w:pPr>
      <w:r w:rsidRPr="000C1C96">
        <w:rPr>
          <w:rFonts w:ascii="Rubik" w:eastAsia="Verdana" w:hAnsi="Rubik" w:cs="Rubik" w:hint="cs"/>
          <w:i/>
          <w:color w:val="232323"/>
        </w:rPr>
        <w:t xml:space="preserve">Individual consultation should take place with all candidates provisionally selected for redundancy, regardless of whether collective consultation has already occurred. This should be done before any final decisions are made. </w:t>
      </w:r>
    </w:p>
    <w:p w14:paraId="00000035" w14:textId="77777777" w:rsidR="00185AED" w:rsidRPr="000C1C96" w:rsidRDefault="00F149BE" w:rsidP="63DE7CB8">
      <w:pPr>
        <w:numPr>
          <w:ilvl w:val="0"/>
          <w:numId w:val="2"/>
        </w:numPr>
        <w:spacing w:after="200"/>
        <w:rPr>
          <w:rFonts w:ascii="Rubik" w:eastAsia="Verdana" w:hAnsi="Rubik" w:cs="Rubik"/>
          <w:color w:val="232323"/>
          <w:lang w:val="en-US"/>
        </w:rPr>
      </w:pPr>
      <w:r w:rsidRPr="000C1C96">
        <w:rPr>
          <w:rFonts w:ascii="Rubik" w:eastAsia="Verdana" w:hAnsi="Rubik" w:cs="Rubik" w:hint="cs"/>
          <w:color w:val="232323"/>
          <w:lang w:val="en-US"/>
        </w:rPr>
        <w:t xml:space="preserve">Send a </w:t>
      </w:r>
      <w:r w:rsidRPr="000C1C96">
        <w:rPr>
          <w:rFonts w:ascii="Rubik" w:eastAsia="Verdana" w:hAnsi="Rubik" w:cs="Rubik" w:hint="cs"/>
          <w:b/>
          <w:bCs/>
          <w:color w:val="232323"/>
          <w:lang w:val="en-US"/>
        </w:rPr>
        <w:t xml:space="preserve">second letter </w:t>
      </w:r>
      <w:r w:rsidRPr="000C1C96">
        <w:rPr>
          <w:rFonts w:ascii="Rubik" w:eastAsia="Verdana" w:hAnsi="Rubik" w:cs="Rubik" w:hint="cs"/>
          <w:color w:val="232323"/>
          <w:lang w:val="en-US"/>
        </w:rPr>
        <w:t xml:space="preserve">to provisionally selected candidates, formally inviting them to an individual consultation. This should include the reasons they’ve been provisionally selected and the candidates’ full scores - and be issued in ‘sufficient advance’ of the meeting. </w:t>
      </w:r>
    </w:p>
    <w:p w14:paraId="00000036" w14:textId="77777777" w:rsidR="00185AED" w:rsidRPr="000C1C96" w:rsidRDefault="00F149BE" w:rsidP="63DE7CB8">
      <w:pPr>
        <w:numPr>
          <w:ilvl w:val="0"/>
          <w:numId w:val="2"/>
        </w:numPr>
        <w:spacing w:after="200"/>
        <w:rPr>
          <w:rFonts w:ascii="Rubik" w:eastAsia="Verdana" w:hAnsi="Rubik" w:cs="Rubik"/>
          <w:color w:val="232323"/>
          <w:lang w:val="en-US"/>
        </w:rPr>
      </w:pPr>
      <w:r w:rsidRPr="000C1C96">
        <w:rPr>
          <w:rFonts w:ascii="Rubik" w:eastAsia="Verdana" w:hAnsi="Rubik" w:cs="Rubik" w:hint="cs"/>
          <w:color w:val="232323"/>
          <w:lang w:val="en-US"/>
        </w:rPr>
        <w:t>Explain that this is just a provisional selection and that no final decisions have been made.</w:t>
      </w:r>
    </w:p>
    <w:p w14:paraId="00000037" w14:textId="77777777" w:rsidR="00185AED" w:rsidRPr="000C1C96" w:rsidRDefault="00F149BE">
      <w:pPr>
        <w:numPr>
          <w:ilvl w:val="0"/>
          <w:numId w:val="2"/>
        </w:numPr>
        <w:spacing w:after="200"/>
        <w:rPr>
          <w:rFonts w:ascii="Rubik" w:eastAsia="Verdana" w:hAnsi="Rubik" w:cs="Rubik"/>
          <w:color w:val="232323"/>
        </w:rPr>
      </w:pPr>
      <w:r w:rsidRPr="000C1C96">
        <w:rPr>
          <w:rFonts w:ascii="Rubik" w:eastAsia="Verdana" w:hAnsi="Rubik" w:cs="Rubik" w:hint="cs"/>
          <w:color w:val="232323"/>
        </w:rPr>
        <w:t>Confirm the employee’s right to have trade union or employee representative support at any redundancy–related meetings.</w:t>
      </w:r>
    </w:p>
    <w:p w14:paraId="00000038" w14:textId="77777777" w:rsidR="00185AED" w:rsidRPr="000C1C96" w:rsidRDefault="00F149BE" w:rsidP="63DE7CB8">
      <w:pPr>
        <w:numPr>
          <w:ilvl w:val="0"/>
          <w:numId w:val="2"/>
        </w:numPr>
        <w:spacing w:after="200"/>
        <w:rPr>
          <w:rFonts w:ascii="Rubik" w:eastAsia="Verdana" w:hAnsi="Rubik" w:cs="Rubik"/>
          <w:color w:val="232323"/>
          <w:lang w:val="en-US"/>
        </w:rPr>
      </w:pPr>
      <w:r w:rsidRPr="000C1C96">
        <w:rPr>
          <w:rFonts w:ascii="Rubik" w:eastAsia="Verdana" w:hAnsi="Rubik" w:cs="Rubik" w:hint="cs"/>
          <w:color w:val="232323"/>
          <w:lang w:val="en-US"/>
        </w:rPr>
        <w:t>Remind the employee of their right to appeal the final decision.</w:t>
      </w:r>
    </w:p>
    <w:p w14:paraId="00000039" w14:textId="77777777" w:rsidR="00185AED" w:rsidRPr="000C1C96" w:rsidRDefault="00F149BE">
      <w:pPr>
        <w:numPr>
          <w:ilvl w:val="0"/>
          <w:numId w:val="2"/>
        </w:numPr>
        <w:rPr>
          <w:rFonts w:ascii="Rubik" w:eastAsia="Verdana" w:hAnsi="Rubik" w:cs="Rubik"/>
          <w:color w:val="232323"/>
        </w:rPr>
      </w:pPr>
      <w:r w:rsidRPr="000C1C96">
        <w:rPr>
          <w:rFonts w:ascii="Rubik" w:eastAsia="Verdana" w:hAnsi="Rubik" w:cs="Rubik" w:hint="cs"/>
          <w:color w:val="232323"/>
        </w:rPr>
        <w:t xml:space="preserve">Hold an individual consultation meeting with each candidate, discussing: </w:t>
      </w:r>
    </w:p>
    <w:p w14:paraId="0000003A" w14:textId="77777777" w:rsidR="00185AED" w:rsidRPr="000C1C96" w:rsidRDefault="00F149BE">
      <w:pPr>
        <w:numPr>
          <w:ilvl w:val="1"/>
          <w:numId w:val="2"/>
        </w:numPr>
        <w:rPr>
          <w:rFonts w:ascii="Rubik" w:eastAsia="Verdana" w:hAnsi="Rubik" w:cs="Rubik"/>
          <w:color w:val="232323"/>
        </w:rPr>
      </w:pPr>
      <w:r w:rsidRPr="000C1C96">
        <w:rPr>
          <w:rFonts w:ascii="Rubik" w:eastAsia="Verdana" w:hAnsi="Rubik" w:cs="Rubik" w:hint="cs"/>
          <w:color w:val="232323"/>
        </w:rPr>
        <w:t>The scores awarded to each candidate</w:t>
      </w:r>
    </w:p>
    <w:p w14:paraId="0000003B" w14:textId="77777777" w:rsidR="00185AED" w:rsidRPr="000C1C96" w:rsidRDefault="00F149BE">
      <w:pPr>
        <w:numPr>
          <w:ilvl w:val="1"/>
          <w:numId w:val="2"/>
        </w:numPr>
        <w:rPr>
          <w:rFonts w:ascii="Rubik" w:eastAsia="Verdana" w:hAnsi="Rubik" w:cs="Rubik"/>
          <w:color w:val="232323"/>
        </w:rPr>
      </w:pPr>
      <w:r w:rsidRPr="000C1C96">
        <w:rPr>
          <w:rFonts w:ascii="Rubik" w:eastAsia="Verdana" w:hAnsi="Rubik" w:cs="Rubik" w:hint="cs"/>
          <w:color w:val="232323"/>
        </w:rPr>
        <w:t>Any suggestions or criticisms the candidate has of the scores</w:t>
      </w:r>
    </w:p>
    <w:p w14:paraId="0000003C" w14:textId="77777777" w:rsidR="00185AED" w:rsidRPr="000C1C96" w:rsidRDefault="00F149BE">
      <w:pPr>
        <w:numPr>
          <w:ilvl w:val="1"/>
          <w:numId w:val="2"/>
        </w:numPr>
        <w:rPr>
          <w:rFonts w:ascii="Rubik" w:eastAsia="Verdana" w:hAnsi="Rubik" w:cs="Rubik"/>
          <w:color w:val="232323"/>
        </w:rPr>
      </w:pPr>
      <w:r w:rsidRPr="000C1C96">
        <w:rPr>
          <w:rFonts w:ascii="Rubik" w:eastAsia="Verdana" w:hAnsi="Rubik" w:cs="Rubik" w:hint="cs"/>
          <w:color w:val="232323"/>
        </w:rPr>
        <w:t>Details of alternative roles in the company, where appropriate</w:t>
      </w:r>
    </w:p>
    <w:p w14:paraId="0000003D" w14:textId="77777777" w:rsidR="00185AED" w:rsidRPr="000C1C96" w:rsidRDefault="00F149BE" w:rsidP="63DE7CB8">
      <w:pPr>
        <w:numPr>
          <w:ilvl w:val="1"/>
          <w:numId w:val="2"/>
        </w:numPr>
        <w:rPr>
          <w:rFonts w:ascii="Rubik" w:eastAsia="Verdana" w:hAnsi="Rubik" w:cs="Rubik"/>
          <w:color w:val="232323"/>
          <w:lang w:val="en-US"/>
        </w:rPr>
      </w:pPr>
      <w:r w:rsidRPr="000C1C96">
        <w:rPr>
          <w:rFonts w:ascii="Rubik" w:eastAsia="Verdana" w:hAnsi="Rubik" w:cs="Rubik" w:hint="cs"/>
          <w:color w:val="232323"/>
          <w:lang w:val="en-US"/>
        </w:rPr>
        <w:t>The redundancy proposal, package and terms</w:t>
      </w:r>
    </w:p>
    <w:p w14:paraId="0CB8BFB4" w14:textId="77777777" w:rsidR="000C1C96" w:rsidRDefault="000C1C96">
      <w:pPr>
        <w:spacing w:before="200" w:after="200"/>
        <w:rPr>
          <w:rFonts w:ascii="Rubik" w:eastAsia="Verdana" w:hAnsi="Rubik" w:cs="Rubik"/>
          <w:b/>
          <w:color w:val="1370ED"/>
          <w:sz w:val="28"/>
          <w:szCs w:val="28"/>
        </w:rPr>
      </w:pPr>
    </w:p>
    <w:p w14:paraId="0000003E" w14:textId="4569F3BF" w:rsidR="00185AED" w:rsidRPr="000C1C96" w:rsidRDefault="00F149BE" w:rsidP="26A59E41">
      <w:pPr>
        <w:spacing w:before="200" w:after="200"/>
        <w:rPr>
          <w:rFonts w:ascii="Rubik" w:eastAsia="Verdana" w:hAnsi="Rubik" w:cs="Rubik"/>
          <w:b/>
          <w:bCs/>
          <w:color w:val="1370ED"/>
          <w:sz w:val="28"/>
          <w:szCs w:val="28"/>
          <w:lang w:val="en-US"/>
        </w:rPr>
      </w:pPr>
      <w:r w:rsidRPr="26A59E41">
        <w:rPr>
          <w:rFonts w:ascii="Rubik" w:eastAsia="Verdana" w:hAnsi="Rubik" w:cs="Rubik"/>
          <w:b/>
          <w:bCs/>
          <w:color w:val="1370ED"/>
          <w:sz w:val="28"/>
          <w:szCs w:val="28"/>
          <w:lang w:val="en-US"/>
        </w:rPr>
        <w:t>5. Finalising redundancies</w:t>
      </w:r>
    </w:p>
    <w:p w14:paraId="0000003F" w14:textId="77777777" w:rsidR="00185AED" w:rsidRPr="000C1C96" w:rsidRDefault="00F149BE" w:rsidP="63DE7CB8">
      <w:pPr>
        <w:spacing w:before="200" w:after="200"/>
        <w:rPr>
          <w:rFonts w:ascii="Rubik" w:eastAsia="Verdana" w:hAnsi="Rubik" w:cs="Rubik"/>
          <w:b/>
          <w:bCs/>
          <w:color w:val="232323"/>
          <w:sz w:val="28"/>
          <w:szCs w:val="28"/>
          <w:lang w:val="en-US"/>
        </w:rPr>
      </w:pPr>
      <w:r w:rsidRPr="000C1C96">
        <w:rPr>
          <w:rFonts w:ascii="Rubik" w:eastAsia="Verdana" w:hAnsi="Rubik" w:cs="Rubik" w:hint="cs"/>
          <w:i/>
          <w:iCs/>
          <w:color w:val="232323"/>
          <w:lang w:val="en-US"/>
        </w:rPr>
        <w:t xml:space="preserve">When a final decision has been made, it’s time to formally confirm the details. </w:t>
      </w:r>
    </w:p>
    <w:p w14:paraId="00000040" w14:textId="77777777" w:rsidR="00185AED" w:rsidRPr="000C1C96" w:rsidRDefault="00F149BE">
      <w:pPr>
        <w:numPr>
          <w:ilvl w:val="0"/>
          <w:numId w:val="2"/>
        </w:numPr>
        <w:spacing w:after="200"/>
        <w:rPr>
          <w:rFonts w:ascii="Rubik" w:eastAsia="Verdana" w:hAnsi="Rubik" w:cs="Rubik"/>
          <w:color w:val="232323"/>
        </w:rPr>
      </w:pPr>
      <w:r w:rsidRPr="000C1C96">
        <w:rPr>
          <w:rFonts w:ascii="Rubik" w:eastAsia="Verdana" w:hAnsi="Rubik" w:cs="Rubik" w:hint="cs"/>
          <w:color w:val="232323"/>
        </w:rPr>
        <w:t xml:space="preserve">Send a formal </w:t>
      </w:r>
      <w:r w:rsidRPr="000C1C96">
        <w:rPr>
          <w:rFonts w:ascii="Rubik" w:eastAsia="Verdana" w:hAnsi="Rubik" w:cs="Rubik" w:hint="cs"/>
          <w:b/>
          <w:color w:val="232323"/>
        </w:rPr>
        <w:t xml:space="preserve">third letter </w:t>
      </w:r>
      <w:r w:rsidRPr="000C1C96">
        <w:rPr>
          <w:rFonts w:ascii="Rubik" w:eastAsia="Verdana" w:hAnsi="Rubik" w:cs="Rubik" w:hint="cs"/>
          <w:color w:val="232323"/>
        </w:rPr>
        <w:t xml:space="preserve">to all candidates confirming the outcome of the consultation and their redundancy. </w:t>
      </w:r>
    </w:p>
    <w:p w14:paraId="00000041" w14:textId="77777777" w:rsidR="00185AED" w:rsidRPr="000C1C96" w:rsidRDefault="00F149BE" w:rsidP="63DE7CB8">
      <w:pPr>
        <w:numPr>
          <w:ilvl w:val="0"/>
          <w:numId w:val="2"/>
        </w:numPr>
        <w:spacing w:after="200"/>
        <w:rPr>
          <w:rFonts w:ascii="Rubik" w:eastAsia="Verdana" w:hAnsi="Rubik" w:cs="Rubik"/>
          <w:color w:val="232323"/>
          <w:lang w:val="en-US"/>
        </w:rPr>
      </w:pPr>
      <w:r w:rsidRPr="000C1C96">
        <w:rPr>
          <w:rFonts w:ascii="Rubik" w:eastAsia="Verdana" w:hAnsi="Rubik" w:cs="Rubik" w:hint="cs"/>
          <w:color w:val="232323"/>
          <w:lang w:val="en-US"/>
        </w:rPr>
        <w:t xml:space="preserve">If the employee chooses to appeal the process, arrange an additional meeting with another manager to discuss their concerns. If necessary, repeat the scoring system and adjust the list of candidates based on this discussion. </w:t>
      </w:r>
    </w:p>
    <w:p w14:paraId="00000042" w14:textId="77777777" w:rsidR="00185AED" w:rsidRPr="000C1C96" w:rsidRDefault="00F149BE" w:rsidP="5AE0588C">
      <w:pPr>
        <w:numPr>
          <w:ilvl w:val="0"/>
          <w:numId w:val="2"/>
        </w:numPr>
        <w:spacing w:after="200"/>
        <w:rPr>
          <w:rFonts w:ascii="Rubik" w:eastAsia="Verdana" w:hAnsi="Rubik" w:cs="Rubik"/>
          <w:color w:val="232323"/>
          <w:lang w:val="en-US"/>
        </w:rPr>
      </w:pPr>
      <w:r w:rsidRPr="5AE0588C">
        <w:rPr>
          <w:rFonts w:ascii="Rubik" w:eastAsia="Verdana" w:hAnsi="Rubik" w:cs="Rubik"/>
          <w:color w:val="232323"/>
          <w:lang w:val="en-US"/>
        </w:rPr>
        <w:t>Ensure the redundant employees have been provided with suitable notice before the redundancy takes effect, or payment in lieu of notice.</w:t>
      </w:r>
    </w:p>
    <w:p w14:paraId="00000043" w14:textId="77777777" w:rsidR="00185AED" w:rsidRPr="000C1C96" w:rsidRDefault="00F149BE" w:rsidP="63DE7CB8">
      <w:pPr>
        <w:numPr>
          <w:ilvl w:val="0"/>
          <w:numId w:val="2"/>
        </w:numPr>
        <w:rPr>
          <w:rFonts w:ascii="Rubik" w:eastAsia="Verdana" w:hAnsi="Rubik" w:cs="Rubik"/>
          <w:color w:val="232323"/>
          <w:lang w:val="en-US"/>
        </w:rPr>
      </w:pPr>
      <w:r w:rsidRPr="000C1C96">
        <w:rPr>
          <w:rFonts w:ascii="Rubik" w:eastAsia="Verdana" w:hAnsi="Rubik" w:cs="Rubik" w:hint="cs"/>
          <w:color w:val="232323"/>
          <w:lang w:val="en-US"/>
        </w:rPr>
        <w:t>Provide redundancy payment in line with the following age requirements. These protections only apply to candidates who’ve worked more than two years*:</w:t>
      </w:r>
    </w:p>
    <w:p w14:paraId="00000044" w14:textId="77777777" w:rsidR="00185AED" w:rsidRPr="000C1C96" w:rsidRDefault="00F149BE">
      <w:pPr>
        <w:numPr>
          <w:ilvl w:val="1"/>
          <w:numId w:val="2"/>
        </w:numPr>
        <w:rPr>
          <w:rFonts w:ascii="Rubik" w:eastAsia="Verdana" w:hAnsi="Rubik" w:cs="Rubik"/>
          <w:color w:val="232323"/>
        </w:rPr>
      </w:pPr>
      <w:r w:rsidRPr="000C1C96">
        <w:rPr>
          <w:rFonts w:ascii="Rubik" w:eastAsia="Verdana" w:hAnsi="Rubik" w:cs="Rubik" w:hint="cs"/>
          <w:b/>
          <w:color w:val="232323"/>
        </w:rPr>
        <w:t>Under 22s:</w:t>
      </w:r>
      <w:r w:rsidRPr="000C1C96">
        <w:rPr>
          <w:rFonts w:ascii="Rubik" w:eastAsia="Verdana" w:hAnsi="Rubik" w:cs="Rubik" w:hint="cs"/>
          <w:color w:val="232323"/>
        </w:rPr>
        <w:t xml:space="preserve"> Half a week’s pay for each complete year of service</w:t>
      </w:r>
    </w:p>
    <w:p w14:paraId="00000045" w14:textId="77777777" w:rsidR="00185AED" w:rsidRPr="000C1C96" w:rsidRDefault="00F149BE">
      <w:pPr>
        <w:numPr>
          <w:ilvl w:val="1"/>
          <w:numId w:val="2"/>
        </w:numPr>
        <w:rPr>
          <w:rFonts w:ascii="Rubik" w:eastAsia="Verdana" w:hAnsi="Rubik" w:cs="Rubik"/>
          <w:color w:val="232323"/>
        </w:rPr>
      </w:pPr>
      <w:r w:rsidRPr="000C1C96">
        <w:rPr>
          <w:rFonts w:ascii="Rubik" w:eastAsia="Verdana" w:hAnsi="Rubik" w:cs="Rubik" w:hint="cs"/>
          <w:b/>
          <w:color w:val="232323"/>
        </w:rPr>
        <w:t>22-41s:</w:t>
      </w:r>
      <w:r w:rsidRPr="000C1C96">
        <w:rPr>
          <w:rFonts w:ascii="Rubik" w:eastAsia="Verdana" w:hAnsi="Rubik" w:cs="Rubik" w:hint="cs"/>
          <w:color w:val="232323"/>
        </w:rPr>
        <w:t xml:space="preserve"> One week’s pay for each complete year of service</w:t>
      </w:r>
    </w:p>
    <w:p w14:paraId="00000046" w14:textId="77777777" w:rsidR="00185AED" w:rsidRPr="000C1C96" w:rsidRDefault="00F149BE">
      <w:pPr>
        <w:numPr>
          <w:ilvl w:val="1"/>
          <w:numId w:val="2"/>
        </w:numPr>
        <w:spacing w:after="200"/>
        <w:rPr>
          <w:rFonts w:ascii="Rubik" w:eastAsia="Verdana" w:hAnsi="Rubik" w:cs="Rubik"/>
          <w:color w:val="232323"/>
        </w:rPr>
      </w:pPr>
      <w:r w:rsidRPr="000C1C96">
        <w:rPr>
          <w:rFonts w:ascii="Rubik" w:eastAsia="Verdana" w:hAnsi="Rubik" w:cs="Rubik" w:hint="cs"/>
          <w:b/>
          <w:color w:val="232323"/>
        </w:rPr>
        <w:t>Over 41s:</w:t>
      </w:r>
      <w:r w:rsidRPr="000C1C96">
        <w:rPr>
          <w:rFonts w:ascii="Rubik" w:eastAsia="Verdana" w:hAnsi="Rubik" w:cs="Rubik" w:hint="cs"/>
          <w:color w:val="232323"/>
        </w:rPr>
        <w:t xml:space="preserve"> 1.5 weeks’ pay for each complete year of service</w:t>
      </w:r>
    </w:p>
    <w:p w14:paraId="00000047" w14:textId="77777777" w:rsidR="00185AED" w:rsidRPr="000C1C96" w:rsidRDefault="00F149BE" w:rsidP="5AE0588C">
      <w:pPr>
        <w:numPr>
          <w:ilvl w:val="0"/>
          <w:numId w:val="2"/>
        </w:numPr>
        <w:spacing w:after="200"/>
        <w:rPr>
          <w:rFonts w:ascii="Rubik" w:eastAsia="Verdana" w:hAnsi="Rubik" w:cs="Rubik"/>
          <w:color w:val="232323"/>
          <w:lang w:val="en-US"/>
        </w:rPr>
      </w:pPr>
      <w:r w:rsidRPr="5AE0588C">
        <w:rPr>
          <w:rFonts w:ascii="Rubik" w:eastAsia="Verdana" w:hAnsi="Rubik" w:cs="Rubik"/>
          <w:color w:val="232323"/>
          <w:lang w:val="en-US"/>
        </w:rPr>
        <w:t>Offer all redundant employees help finding alternative work.</w:t>
      </w:r>
    </w:p>
    <w:p w14:paraId="00000049" w14:textId="4227672E" w:rsidR="00185AED" w:rsidRDefault="00F149BE" w:rsidP="000C1C96">
      <w:pPr>
        <w:spacing w:after="200"/>
        <w:rPr>
          <w:rFonts w:ascii="Rubik" w:eastAsia="Verdana" w:hAnsi="Rubik" w:cs="Rubik"/>
          <w:i/>
          <w:color w:val="232323"/>
        </w:rPr>
      </w:pPr>
      <w:r w:rsidRPr="000C1C96">
        <w:rPr>
          <w:rFonts w:ascii="Rubik" w:eastAsia="Verdana" w:hAnsi="Rubik" w:cs="Rubik" w:hint="cs"/>
          <w:i/>
          <w:color w:val="232323"/>
        </w:rPr>
        <w:t>*This point refers to statutory legal redundancy payments, meaning it follows the legal minimum set by law. Companies may choose to offer an enhanced package at their own discretion.</w:t>
      </w:r>
    </w:p>
    <w:p w14:paraId="7F8DBD48" w14:textId="77777777" w:rsidR="002362F3" w:rsidRDefault="002362F3" w:rsidP="000C1C96">
      <w:pPr>
        <w:spacing w:after="200"/>
        <w:rPr>
          <w:rFonts w:ascii="Rubik" w:eastAsia="Verdana" w:hAnsi="Rubik" w:cs="Rubik"/>
          <w:i/>
          <w:color w:val="232323"/>
        </w:rPr>
      </w:pPr>
    </w:p>
    <w:p w14:paraId="541B811D" w14:textId="48B1FBEE" w:rsidR="002362F3" w:rsidRPr="000C1C96" w:rsidRDefault="002362F3" w:rsidP="000C1C96">
      <w:pPr>
        <w:spacing w:after="200"/>
        <w:rPr>
          <w:rFonts w:ascii="Rubik" w:eastAsia="Verdana" w:hAnsi="Rubik" w:cs="Rubik"/>
          <w:i/>
          <w:color w:val="232323"/>
        </w:rPr>
      </w:pPr>
      <w:r>
        <w:rPr>
          <w:rFonts w:ascii="Rubik" w:eastAsia="Verdana" w:hAnsi="Rubik" w:cs="Rubik"/>
          <w:b/>
          <w:bCs/>
          <w:noProof/>
          <w:sz w:val="32"/>
          <w:szCs w:val="32"/>
        </w:rPr>
        <mc:AlternateContent>
          <mc:Choice Requires="wps">
            <w:drawing>
              <wp:anchor distT="0" distB="0" distL="114300" distR="114300" simplePos="0" relativeHeight="251662336" behindDoc="0" locked="0" layoutInCell="1" allowOverlap="1" wp14:anchorId="6F1AC521" wp14:editId="710983DD">
                <wp:simplePos x="0" y="0"/>
                <wp:positionH relativeFrom="column">
                  <wp:posOffset>0</wp:posOffset>
                </wp:positionH>
                <wp:positionV relativeFrom="paragraph">
                  <wp:posOffset>0</wp:posOffset>
                </wp:positionV>
                <wp:extent cx="6143625" cy="474562"/>
                <wp:effectExtent l="0" t="0" r="15875" b="8255"/>
                <wp:wrapNone/>
                <wp:docPr id="394701311" name="Text Box 1"/>
                <wp:cNvGraphicFramePr/>
                <a:graphic xmlns:a="http://schemas.openxmlformats.org/drawingml/2006/main">
                  <a:graphicData uri="http://schemas.microsoft.com/office/word/2010/wordprocessingShape">
                    <wps:wsp>
                      <wps:cNvSpPr txBox="1"/>
                      <wps:spPr>
                        <a:xfrm>
                          <a:off x="0" y="0"/>
                          <a:ext cx="6143625" cy="474562"/>
                        </a:xfrm>
                        <a:prstGeom prst="roundRect">
                          <a:avLst>
                            <a:gd name="adj" fmla="val 50000"/>
                          </a:avLst>
                        </a:prstGeom>
                        <a:solidFill>
                          <a:srgbClr val="F3EDE7"/>
                        </a:solidFill>
                        <a:ln w="12700">
                          <a:solidFill>
                            <a:srgbClr val="232323"/>
                          </a:solidFill>
                        </a:ln>
                      </wps:spPr>
                      <wps:txbx>
                        <w:txbxContent>
                          <w:p w14:paraId="074A9022" w14:textId="77777777" w:rsidR="002362F3" w:rsidRPr="00521F53" w:rsidRDefault="002362F3" w:rsidP="002362F3">
                            <w:pPr>
                              <w:spacing w:line="240" w:lineRule="auto"/>
                              <w:jc w:val="center"/>
                              <w:rPr>
                                <w:rFonts w:ascii="Rubik" w:eastAsia="Verdana" w:hAnsi="Rubik" w:cs="Rubik"/>
                                <w:color w:val="1370ED"/>
                                <w:sz w:val="32"/>
                                <w:szCs w:val="32"/>
                                <w:lang w:val="en-GB"/>
                              </w:rPr>
                            </w:pPr>
                            <w:hyperlink r:id="rId21" w:history="1">
                              <w:r w:rsidRPr="00521F53">
                                <w:rPr>
                                  <w:rStyle w:val="Hyperlink"/>
                                  <w:rFonts w:ascii="Rubik" w:eastAsia="Verdana" w:hAnsi="Rubik" w:cs="Rubik"/>
                                  <w:color w:val="1370ED"/>
                                  <w:sz w:val="32"/>
                                  <w:szCs w:val="32"/>
                                  <w:lang w:val="en-GB"/>
                                </w:rPr>
                                <w:t>Worried about compliance? We can help.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0BDE4A14">
              <v:roundrect id="_x0000_s1028" style="position:absolute;margin-left:0;margin-top:0;width:483.75pt;height:3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3ede7" strokecolor="#232323" strokeweight="1pt" arcsize=".5" w14:anchorId="6F1AC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9DVQIAALcEAAAOAAAAZHJzL2Uyb0RvYy54bWysVNtuGjEQfa/Uf7D83ixsuLSrLBEloaqE&#10;kqikyrPx2rCV7XFtwy79+o7NcmlT9aEqSGbGMz6eOT7DzW2rFdkJ52swJe1f9SgRhkNVm3VJvz7P&#10;372nxAdmKqbAiJLuhae3k7dvbhpbiBw2oCrhCIIYXzS2pJsQbJFlnm+EZv4KrDAYlOA0C+i6dVY5&#10;1iC6Vlne642yBlxlHXDhPe7eHYJ0kvClFDw8SulFIKqkWFtIq0vrKq7Z5IYVa8fspuZdGewfqtCs&#10;NnjpCeqOBUa2rn4FpWvuwIMMVxx0BlLWXKQesJt+77dulhtmReoFyfH2RJP/f7D8Ybe0T46E9iO0&#10;+ICRkMb6wuNm7KeVTsdfrJRgHCncn2gTbSAcN0f9wfUoH1LCMTYYD4ajPMJk59PW+fBJgCbRKKmD&#10;ram+4Nskythu4UPiriKGaRQJq75RIrXCl9gxRYY9/HSIXTJiHzHjSQ+qrua1Uslx69VMOYJHSzq/&#10;vr+7H3eHf0lThjTYcD5G7L9j5Nfx+xoDi1AG+zzzFa3QrlpSVyVNJMSdFVR7pNjBQX3e8nmNPCyY&#10;D0/MYZPIKo5QeMRFKsCqoLMo2YD78af9mI8qwCglDcq3pP77ljlBifpsUB8f+oNB1HtyBsNxjo67&#10;jKwuI2arZ4Bs9XFYLU9mzA/qaEoH+gUnbRpvxRAzHO8uaTias3AYKpxULqbTlIQKtywszNLyCB1J&#10;jo/23L4wZzspBBTRAxyFzor0vgfxnHPjSQPTbQBZhxg8s9o5OB1JcN0kx/G79FPW+f9m8hMAAP//&#10;AwBQSwMEFAAGAAgAAAAhAOnSlg7eAAAACQEAAA8AAABkcnMvZG93bnJldi54bWxMj81OwzAQhO9I&#10;vIO1SNyoQwUJSeNU/AgJThWFA0c3XuIo8TqK3dZ9exYucBlpNZrZ+ep1cqM44Bx6TwquFxkIpNab&#10;njoFH+/PV3cgQtRk9OgJFZwwwLo5P6t1ZfyR3vCwjZ3gEgqVVmBjnCopQ2vR6bDwExJ7X352OvI5&#10;d9LM+sjlbpTLLMul0z3xB6snfLTYDtu9U5CnYSjD58ZmvS3z5UvRv6aHk1KXF+lpxXK/AhExxb8E&#10;/DDwfmh42M7vyQQxKmCa+KvslXlxC2KnoLgpQDa1/E/QfAMAAP//AwBQSwECLQAUAAYACAAAACEA&#10;toM4kv4AAADhAQAAEwAAAAAAAAAAAAAAAAAAAAAAW0NvbnRlbnRfVHlwZXNdLnhtbFBLAQItABQA&#10;BgAIAAAAIQA4/SH/1gAAAJQBAAALAAAAAAAAAAAAAAAAAC8BAABfcmVscy8ucmVsc1BLAQItABQA&#10;BgAIAAAAIQCDkG9DVQIAALcEAAAOAAAAAAAAAAAAAAAAAC4CAABkcnMvZTJvRG9jLnhtbFBLAQIt&#10;ABQABgAIAAAAIQDp0pYO3gAAAAkBAAAPAAAAAAAAAAAAAAAAAK8EAABkcnMvZG93bnJldi54bWxQ&#10;SwUGAAAAAAQABADzAAAAugUAAAAA&#10;">
                <v:textbox>
                  <w:txbxContent>
                    <w:p w:rsidRPr="00521F53" w:rsidR="002362F3" w:rsidP="002362F3" w:rsidRDefault="002362F3" w14:paraId="55742616" w14:textId="77777777">
                      <w:pPr>
                        <w:spacing w:line="240" w:lineRule="auto"/>
                        <w:jc w:val="center"/>
                        <w:rPr>
                          <w:rFonts w:ascii="Rubik" w:hAnsi="Rubik" w:eastAsia="Verdana" w:cs="Rubik"/>
                          <w:color w:val="1370ED"/>
                          <w:sz w:val="32"/>
                          <w:szCs w:val="32"/>
                          <w:lang w:val="en-GB"/>
                        </w:rPr>
                      </w:pPr>
                      <w:hyperlink w:history="1" r:id="rId22">
                        <w:r w:rsidRPr="00521F53">
                          <w:rPr>
                            <w:rStyle w:val="Hyperlink"/>
                            <w:rFonts w:ascii="Rubik" w:hAnsi="Rubik" w:eastAsia="Verdana" w:cs="Rubik"/>
                            <w:color w:val="1370ED"/>
                            <w:sz w:val="32"/>
                            <w:szCs w:val="32"/>
                            <w:lang w:val="en-GB"/>
                          </w:rPr>
                          <w:t>Worried about compliance? We can help.</w:t>
                        </w:r>
                      </w:hyperlink>
                    </w:p>
                  </w:txbxContent>
                </v:textbox>
              </v:roundrect>
            </w:pict>
          </mc:Fallback>
        </mc:AlternateContent>
      </w:r>
    </w:p>
    <w:sectPr w:rsidR="002362F3" w:rsidRPr="000C1C96" w:rsidSect="000C1C96">
      <w:headerReference w:type="default" r:id="rId23"/>
      <w:footerReference w:type="even" r:id="rId24"/>
      <w:footerReference w:type="default" r:id="rId25"/>
      <w:pgSz w:w="11906" w:h="16838"/>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D28081" w14:textId="77777777" w:rsidR="00F00D53" w:rsidRDefault="00F00D53" w:rsidP="000C1C96">
      <w:pPr>
        <w:spacing w:line="240" w:lineRule="auto"/>
      </w:pPr>
      <w:r>
        <w:separator/>
      </w:r>
    </w:p>
  </w:endnote>
  <w:endnote w:type="continuationSeparator" w:id="0">
    <w:p w14:paraId="4DB4F2A7" w14:textId="77777777" w:rsidR="00F00D53" w:rsidRDefault="00F00D53" w:rsidP="000C1C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ubik">
    <w:altName w:val="Arial"/>
    <w:panose1 w:val="00000000000000000000"/>
    <w:charset w:val="B1"/>
    <w:family w:val="auto"/>
    <w:pitch w:val="variable"/>
    <w:sig w:usb0="A0002A6F" w:usb1="C000205B" w:usb2="00000000" w:usb3="00000000" w:csb0="000000F7" w:csb1="00000000"/>
    <w:embedRegular r:id="rId1" w:fontKey="{00704579-C91F-4DC7-85EB-D045A5EC04EE}"/>
    <w:embedBold r:id="rId2" w:fontKey="{5B00C5ED-C0B3-4DC2-AC8A-872167EA4642}"/>
    <w:embedItalic r:id="rId3" w:fontKey="{5F0D86EC-0CCA-4A27-98E7-04DCD8BB5349}"/>
    <w:embedBoldItalic r:id="rId4" w:fontKey="{C10C0008-3B60-4F94-9BF5-E576FEB64149}"/>
  </w:font>
  <w:font w:name="Verdana">
    <w:panose1 w:val="020B0604030504040204"/>
    <w:charset w:val="00"/>
    <w:family w:val="swiss"/>
    <w:pitch w:val="variable"/>
    <w:sig w:usb0="A00006FF" w:usb1="4000205B" w:usb2="00000010" w:usb3="00000000" w:csb0="0000019F" w:csb1="00000000"/>
    <w:embedRegular r:id="rId5" w:fontKey="{92DA11A7-67E4-4ACC-AE1F-A6240FB751B9}"/>
    <w:embedBold r:id="rId6" w:fontKey="{FAEE193F-38A7-429A-9D33-57012F917327}"/>
    <w:embedItalic r:id="rId7" w:fontKey="{339412E9-61AC-43B2-9B8B-5A6A02775BB9}"/>
    <w:embedBoldItalic r:id="rId8" w:fontKey="{AE1A5165-5C21-4BE7-9CBD-B584DB00A61D}"/>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9" w:fontKey="{E5CF105B-362B-44F8-AA45-3B6BC334E1AF}"/>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0" w:fontKey="{3A5DD8E6-2C98-4111-8590-285E6EE1F1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0033902"/>
      <w:docPartObj>
        <w:docPartGallery w:val="Page Numbers (Bottom of Page)"/>
        <w:docPartUnique/>
      </w:docPartObj>
    </w:sdtPr>
    <w:sdtContent>
      <w:p w14:paraId="202D4423" w14:textId="093D09B2" w:rsidR="002362F3" w:rsidRDefault="002362F3" w:rsidP="00430F7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DD32E20" w14:textId="77777777" w:rsidR="002362F3" w:rsidRDefault="002362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99016373"/>
      <w:docPartObj>
        <w:docPartGallery w:val="Page Numbers (Bottom of Page)"/>
        <w:docPartUnique/>
      </w:docPartObj>
    </w:sdtPr>
    <w:sdtContent>
      <w:p w14:paraId="534E8453" w14:textId="7F56EC0D" w:rsidR="002362F3" w:rsidRDefault="002362F3" w:rsidP="00430F7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3ED6F0A4" w14:textId="6FE1C8C6" w:rsidR="000C1C96" w:rsidRDefault="26A59E41" w:rsidP="000C1C96">
    <w:pPr>
      <w:pStyle w:val="Footer"/>
      <w:jc w:val="right"/>
    </w:pPr>
    <w:r>
      <w:rPr>
        <w:noProof/>
      </w:rPr>
      <w:drawing>
        <wp:anchor distT="0" distB="0" distL="114300" distR="114300" simplePos="0" relativeHeight="251659264" behindDoc="1" locked="0" layoutInCell="1" allowOverlap="1" wp14:anchorId="6FD5010D" wp14:editId="044705E5">
          <wp:simplePos x="0" y="0"/>
          <wp:positionH relativeFrom="margin">
            <wp:posOffset>0</wp:posOffset>
          </wp:positionH>
          <wp:positionV relativeFrom="paragraph">
            <wp:posOffset>-308610</wp:posOffset>
          </wp:positionV>
          <wp:extent cx="1393190" cy="549275"/>
          <wp:effectExtent l="0" t="0" r="0" b="3175"/>
          <wp:wrapSquare wrapText="bothSides"/>
          <wp:docPr id="1926255818" name="Picture 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55818" name="Picture 4">
                    <a:hlinkClick r:id="rId1"/>
                  </pic:cNvPr>
                  <pic:cNvPicPr/>
                </pic:nvPicPr>
                <pic:blipFill rotWithShape="1">
                  <a:blip r:embed="rId2">
                    <a:extLst>
                      <a:ext uri="{28A0092B-C50C-407E-A947-70E740481C1C}">
                        <a14:useLocalDpi xmlns:a14="http://schemas.microsoft.com/office/drawing/2010/main" val="0"/>
                      </a:ext>
                    </a:extLst>
                  </a:blip>
                  <a:srcRect t="29687" b="30860"/>
                  <a:stretch>
                    <a:fillRect/>
                  </a:stretch>
                </pic:blipFill>
                <pic:spPr bwMode="auto">
                  <a:xfrm>
                    <a:off x="0" y="0"/>
                    <a:ext cx="1393190" cy="54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7266183B" wp14:editId="1911C365">
          <wp:simplePos x="0" y="0"/>
          <wp:positionH relativeFrom="margin">
            <wp:posOffset>4794885</wp:posOffset>
          </wp:positionH>
          <wp:positionV relativeFrom="paragraph">
            <wp:posOffset>-136200</wp:posOffset>
          </wp:positionV>
          <wp:extent cx="1393825" cy="247650"/>
          <wp:effectExtent l="0" t="0" r="0" b="0"/>
          <wp:wrapSquare wrapText="bothSides"/>
          <wp:docPr id="1026774140" name="Graphic 7">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74140" name="Graphic 7">
                    <a:hlinkClick r:id="rId3"/>
                  </pic:cNvPr>
                  <pic:cNvPicPr/>
                </pic:nvPicPr>
                <pic:blipFill>
                  <a:blip r:embed="rId4">
                    <a:extLst>
                      <a:ext uri="{96DAC541-7B7A-43D3-8B79-37D633B846F1}">
                        <asvg:svgBlip xmlns:asvg="http://schemas.microsoft.com/office/drawing/2016/SVG/main" r:embed="rId5"/>
                      </a:ext>
                    </a:extLst>
                  </a:blip>
                  <a:stretch>
                    <a:fillRect/>
                  </a:stretch>
                </pic:blipFill>
                <pic:spPr>
                  <a:xfrm>
                    <a:off x="0" y="0"/>
                    <a:ext cx="1393825" cy="2476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BFB06F" w14:textId="77777777" w:rsidR="00F00D53" w:rsidRDefault="00F00D53" w:rsidP="000C1C96">
      <w:pPr>
        <w:spacing w:line="240" w:lineRule="auto"/>
      </w:pPr>
      <w:r>
        <w:separator/>
      </w:r>
    </w:p>
  </w:footnote>
  <w:footnote w:type="continuationSeparator" w:id="0">
    <w:p w14:paraId="0D6B8FF5" w14:textId="77777777" w:rsidR="00F00D53" w:rsidRDefault="00F00D53" w:rsidP="000C1C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45"/>
      <w:gridCol w:w="3245"/>
      <w:gridCol w:w="3245"/>
    </w:tblGrid>
    <w:tr w:rsidR="26A59E41" w14:paraId="08B66062" w14:textId="77777777" w:rsidTr="26A59E41">
      <w:trPr>
        <w:trHeight w:val="300"/>
      </w:trPr>
      <w:tc>
        <w:tcPr>
          <w:tcW w:w="3245" w:type="dxa"/>
        </w:tcPr>
        <w:p w14:paraId="43E7A8BC" w14:textId="40570B16" w:rsidR="26A59E41" w:rsidRDefault="26A59E41" w:rsidP="26A59E41">
          <w:pPr>
            <w:pStyle w:val="Header"/>
            <w:ind w:left="-115"/>
          </w:pPr>
        </w:p>
      </w:tc>
      <w:tc>
        <w:tcPr>
          <w:tcW w:w="3245" w:type="dxa"/>
        </w:tcPr>
        <w:p w14:paraId="1A066691" w14:textId="720B24F4" w:rsidR="26A59E41" w:rsidRDefault="26A59E41" w:rsidP="26A59E41">
          <w:pPr>
            <w:pStyle w:val="Header"/>
            <w:jc w:val="center"/>
          </w:pPr>
        </w:p>
      </w:tc>
      <w:tc>
        <w:tcPr>
          <w:tcW w:w="3245" w:type="dxa"/>
        </w:tcPr>
        <w:p w14:paraId="675F8A72" w14:textId="57C69E39" w:rsidR="26A59E41" w:rsidRDefault="26A59E41" w:rsidP="26A59E41">
          <w:pPr>
            <w:pStyle w:val="Header"/>
            <w:ind w:right="-115"/>
            <w:jc w:val="right"/>
          </w:pPr>
        </w:p>
      </w:tc>
    </w:tr>
  </w:tbl>
  <w:p w14:paraId="22D3C091" w14:textId="2198CA7C" w:rsidR="26A59E41" w:rsidRDefault="26A59E41" w:rsidP="26A59E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27514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51B049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48284285">
    <w:abstractNumId w:val="0"/>
  </w:num>
  <w:num w:numId="2" w16cid:durableId="14454206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AED"/>
    <w:rsid w:val="000C1C96"/>
    <w:rsid w:val="00185AED"/>
    <w:rsid w:val="00194DED"/>
    <w:rsid w:val="001F6D0E"/>
    <w:rsid w:val="00202039"/>
    <w:rsid w:val="002362F3"/>
    <w:rsid w:val="004E6FE2"/>
    <w:rsid w:val="007802A7"/>
    <w:rsid w:val="007E38CD"/>
    <w:rsid w:val="00944957"/>
    <w:rsid w:val="00A75B0B"/>
    <w:rsid w:val="00AC04FA"/>
    <w:rsid w:val="00B33480"/>
    <w:rsid w:val="00C550B1"/>
    <w:rsid w:val="00C911DB"/>
    <w:rsid w:val="00C92339"/>
    <w:rsid w:val="00CC2899"/>
    <w:rsid w:val="00D47457"/>
    <w:rsid w:val="00F00D53"/>
    <w:rsid w:val="00F13EF9"/>
    <w:rsid w:val="00F149BE"/>
    <w:rsid w:val="00F33859"/>
    <w:rsid w:val="26A59E41"/>
    <w:rsid w:val="4D21881E"/>
    <w:rsid w:val="5AE0588C"/>
    <w:rsid w:val="63DE7CB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96F773"/>
  <w15:docId w15:val="{C099C90B-CE2E-4B4B-BBEF-C7CDBED21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4D21881E"/>
    <w:rPr>
      <w:color w:val="0000FF"/>
      <w:u w:val="single"/>
    </w:rPr>
  </w:style>
  <w:style w:type="paragraph" w:styleId="Header">
    <w:name w:val="header"/>
    <w:basedOn w:val="Normal"/>
    <w:link w:val="HeaderChar"/>
    <w:uiPriority w:val="99"/>
    <w:unhideWhenUsed/>
    <w:rsid w:val="000C1C96"/>
    <w:pPr>
      <w:tabs>
        <w:tab w:val="center" w:pos="4513"/>
        <w:tab w:val="right" w:pos="9026"/>
      </w:tabs>
      <w:spacing w:line="240" w:lineRule="auto"/>
    </w:pPr>
  </w:style>
  <w:style w:type="character" w:customStyle="1" w:styleId="HeaderChar">
    <w:name w:val="Header Char"/>
    <w:basedOn w:val="DefaultParagraphFont"/>
    <w:link w:val="Header"/>
    <w:uiPriority w:val="99"/>
    <w:rsid w:val="000C1C96"/>
  </w:style>
  <w:style w:type="paragraph" w:styleId="Footer">
    <w:name w:val="footer"/>
    <w:basedOn w:val="Normal"/>
    <w:link w:val="FooterChar"/>
    <w:uiPriority w:val="99"/>
    <w:unhideWhenUsed/>
    <w:rsid w:val="000C1C96"/>
    <w:pPr>
      <w:tabs>
        <w:tab w:val="center" w:pos="4513"/>
        <w:tab w:val="right" w:pos="9026"/>
      </w:tabs>
      <w:spacing w:line="240" w:lineRule="auto"/>
    </w:pPr>
  </w:style>
  <w:style w:type="character" w:customStyle="1" w:styleId="FooterChar">
    <w:name w:val="Footer Char"/>
    <w:basedOn w:val="DefaultParagraphFont"/>
    <w:link w:val="Footer"/>
    <w:uiPriority w:val="99"/>
    <w:rsid w:val="000C1C96"/>
  </w:style>
  <w:style w:type="character" w:styleId="UnresolvedMention">
    <w:name w:val="Unresolved Mention"/>
    <w:basedOn w:val="DefaultParagraphFont"/>
    <w:uiPriority w:val="99"/>
    <w:semiHidden/>
    <w:unhideWhenUsed/>
    <w:rsid w:val="002362F3"/>
    <w:rPr>
      <w:color w:val="605E5C"/>
      <w:shd w:val="clear" w:color="auto" w:fill="E1DFDD"/>
    </w:rPr>
  </w:style>
  <w:style w:type="character" w:styleId="FollowedHyperlink">
    <w:name w:val="FollowedHyperlink"/>
    <w:basedOn w:val="DefaultParagraphFont"/>
    <w:uiPriority w:val="99"/>
    <w:semiHidden/>
    <w:unhideWhenUsed/>
    <w:rsid w:val="002362F3"/>
    <w:rPr>
      <w:color w:val="800080" w:themeColor="followedHyperlink"/>
      <w:u w:val="single"/>
    </w:rPr>
  </w:style>
  <w:style w:type="character" w:styleId="PageNumber">
    <w:name w:val="page number"/>
    <w:basedOn w:val="DefaultParagraphFont"/>
    <w:uiPriority w:val="99"/>
    <w:semiHidden/>
    <w:unhideWhenUsed/>
    <w:rsid w:val="002362F3"/>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loverhr.co.uk/contact/?utm_source=Breathe%20HR%20redundancy%20toolkit&amp;utm_medium=referral&amp;utm_campaign=Breathe%20redundancy%20content" TargetMode="External"/><Relationship Id="rId18" Type="http://schemas.openxmlformats.org/officeDocument/2006/relationships/hyperlink" Target="https://www.cloverhr.co.uk/contact/?utm_source=Breathe%20HR%20redundancy%20toolkit&amp;utm_medium=referral&amp;utm_campaign=Breathe%20redundancy%20content"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breathehr.com/en-gb/hr-software/compliance?utm_source=resource&amp;utm_medium=word&amp;utm_campaign=employment+law&amp;utm_content=redundancy+toolkit+-+spreadsheets+" TargetMode="External"/><Relationship Id="rId7" Type="http://schemas.openxmlformats.org/officeDocument/2006/relationships/webSettings" Target="webSettings.xml"/><Relationship Id="rId12" Type="http://schemas.openxmlformats.org/officeDocument/2006/relationships/hyperlink" Target="https://www.acas.org.uk/redundancy" TargetMode="External"/><Relationship Id="rId17" Type="http://schemas.openxmlformats.org/officeDocument/2006/relationships/hyperlink" Target="https://www.acas.org.uk/redundancy"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breathehr.com/en-gb/partners/hr-consultancy-directory/clover-hr?utm_source=redundancy-toolkit&amp;utm_medium=referral&amp;utm_campaign=redundancy" TargetMode="External"/><Relationship Id="rId20" Type="http://schemas.openxmlformats.org/officeDocument/2006/relationships/hyperlink" Target="https://www.gov.uk/government/publications/redundancy-payments-form-hr1-advance-notification-of-redundanci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reathehr.com/en-gb/partners/hr-consultancy-directory/clover-hr?utm_source=redundancy-toolkit&amp;utm_medium=referral&amp;utm_campaign=redundancy"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linkedin.com/in/lynn-burman-47156018b/?utm_source=Breathe%20HR%20redundancy%20toolkit&amp;utm_medium=referral&amp;utm_campaign=Breathe%20redundancy%20content" TargetMode="External"/><Relationship Id="rId23" Type="http://schemas.openxmlformats.org/officeDocument/2006/relationships/header" Target="header1.xml"/><Relationship Id="rId10" Type="http://schemas.openxmlformats.org/officeDocument/2006/relationships/hyperlink" Target="https://www.linkedin.com/in/lynn-burman-47156018b/?utm_source=Breathe%20HR%20redundancy%20toolkit&amp;utm_medium=referral&amp;utm_campaign=Breathe%20redundancy%20content" TargetMode="External"/><Relationship Id="rId19" Type="http://schemas.openxmlformats.org/officeDocument/2006/relationships/hyperlink" Target="https://www.breathehr.com/en-gb/partners/hr-consultancy-directory?utm_source=redundancy-toolkit&amp;utm_medium=referral&amp;utm_campaign=redundanc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reathehr.com/en-gb/partners/hr-consultancy-directory?utm_source=redundancy-toolkit&amp;utm_medium=referral&amp;utm_campaign=redundancy" TargetMode="External"/><Relationship Id="rId22" Type="http://schemas.openxmlformats.org/officeDocument/2006/relationships/hyperlink" Target="https://www.breathehr.com/en-gb/hr-software/compliance?utm_source=resource&amp;utm_medium=word&amp;utm_campaign=employment+law&amp;utm_content=redundancy+toolkit+-+spreadsheets+"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www.breathehr.com/en-gb/sign-up?utm_source=resource&amp;utm_medium=word&amp;utm_campaign=employment+law&amp;utm_content=redundancy+toolkit+-+spreadsheets+" TargetMode="External"/><Relationship Id="rId2" Type="http://schemas.openxmlformats.org/officeDocument/2006/relationships/image" Target="media/image1.jpg"/><Relationship Id="rId1" Type="http://schemas.openxmlformats.org/officeDocument/2006/relationships/hyperlink" Target="https://www.cloverhr.co.uk/contact/?utm_source=Breathe%20HR%20redundancy%20toolkit&amp;utm_medium=referral&amp;utm_campaign=Breathe%20redundancy%20content" TargetMode="External"/><Relationship Id="rId5" Type="http://schemas.openxmlformats.org/officeDocument/2006/relationships/image" Target="media/image3.sv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9C88F06B61E27408D933478E194463F" ma:contentTypeVersion="25" ma:contentTypeDescription="Create a new document." ma:contentTypeScope="" ma:versionID="fa7222d27497cc9c4fcc8c3e935a958f">
  <xsd:schema xmlns:xsd="http://www.w3.org/2001/XMLSchema" xmlns:xs="http://www.w3.org/2001/XMLSchema" xmlns:p="http://schemas.microsoft.com/office/2006/metadata/properties" xmlns:ns2="e1cb8ee7-e852-4c8a-8fcc-47709a095478" xmlns:ns3="cdee636f-d6ec-48aa-8ad6-87e2340071f9" targetNamespace="http://schemas.microsoft.com/office/2006/metadata/properties" ma:root="true" ma:fieldsID="296b1d6369874df7b8de5a9c7089e6d0" ns2:_="" ns3:_="">
    <xsd:import namespace="e1cb8ee7-e852-4c8a-8fcc-47709a095478"/>
    <xsd:import namespace="cdee636f-d6ec-48aa-8ad6-87e2340071f9"/>
    <xsd:element name="properties">
      <xsd:complexType>
        <xsd:sequence>
          <xsd:element name="documentManagement">
            <xsd:complexType>
              <xsd:all>
                <xsd:element ref="ns2:SharedWithUsers" minOccurs="0"/>
                <xsd:element ref="ns3:MediaServiceMetadata" minOccurs="0"/>
                <xsd:element ref="ns3:MediaServiceFastMetadata" minOccurs="0"/>
                <xsd:element ref="ns2:SharedWithDetails"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Picture" minOccurs="0"/>
                <xsd:element ref="ns3:MediaLengthInSeconds" minOccurs="0"/>
                <xsd:element ref="ns2:TaxCatchAll" minOccurs="0"/>
                <xsd:element ref="ns3:lcf76f155ced4ddcb4097134ff3c332f" minOccurs="0"/>
                <xsd:element ref="ns3:MediaServiceSearchProperties" minOccurs="0"/>
                <xsd:element ref="ns3:MediaServiceObjectDetectorVersions" minOccurs="0"/>
                <xsd:element ref="ns3:_Flow_SignoffStatu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cb8ee7-e852-4c8a-8fcc-47709a09547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d15385f-fc68-4678-96cf-e0f9bece38c1}" ma:internalName="TaxCatchAll" ma:showField="CatchAllData" ma:web="e1cb8ee7-e852-4c8a-8fcc-47709a095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dee636f-d6ec-48aa-8ad6-87e2340071f9"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Picture" ma:index="20" nillable="true" ma:displayName="Picture" ma:format="Image" ma:internalName="Picture">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60b7862-bb38-4c4c-a807-4fcdf696faad"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_Flow_SignoffStatus" ma:index="27" nillable="true" ma:displayName="Sign-off status" ma:internalName="Sign_x002d_off_x0020_status">
      <xsd:simpleType>
        <xsd:restriction base="dms:Text"/>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1cb8ee7-e852-4c8a-8fcc-47709a095478" xsi:nil="true"/>
    <lcf76f155ced4ddcb4097134ff3c332f xmlns="cdee636f-d6ec-48aa-8ad6-87e2340071f9">
      <Terms xmlns="http://schemas.microsoft.com/office/infopath/2007/PartnerControls"/>
    </lcf76f155ced4ddcb4097134ff3c332f>
    <_Flow_SignoffStatus xmlns="cdee636f-d6ec-48aa-8ad6-87e2340071f9" xsi:nil="true"/>
    <Picture xmlns="cdee636f-d6ec-48aa-8ad6-87e2340071f9">
      <Url xsi:nil="true"/>
      <Description xsi:nil="true"/>
    </Picture>
  </documentManagement>
</p:properties>
</file>

<file path=customXml/itemProps1.xml><?xml version="1.0" encoding="utf-8"?>
<ds:datastoreItem xmlns:ds="http://schemas.openxmlformats.org/officeDocument/2006/customXml" ds:itemID="{5B00A712-E216-4B27-B4F6-073B0E2378A8}">
  <ds:schemaRefs>
    <ds:schemaRef ds:uri="http://schemas.microsoft.com/sharepoint/v3/contenttype/forms"/>
  </ds:schemaRefs>
</ds:datastoreItem>
</file>

<file path=customXml/itemProps2.xml><?xml version="1.0" encoding="utf-8"?>
<ds:datastoreItem xmlns:ds="http://schemas.openxmlformats.org/officeDocument/2006/customXml" ds:itemID="{5166EF13-B8EC-4032-951B-941D0C31A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cb8ee7-e852-4c8a-8fcc-47709a095478"/>
    <ds:schemaRef ds:uri="cdee636f-d6ec-48aa-8ad6-87e2340071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C60053-2D98-4F5A-8017-A57479FC6D82}">
  <ds:schemaRefs>
    <ds:schemaRef ds:uri="http://schemas.microsoft.com/office/2006/metadata/properties"/>
    <ds:schemaRef ds:uri="http://schemas.microsoft.com/office/infopath/2007/PartnerControls"/>
    <ds:schemaRef ds:uri="e1cb8ee7-e852-4c8a-8fcc-47709a095478"/>
    <ds:schemaRef ds:uri="cdee636f-d6ec-48aa-8ad6-87e2340071f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1044</Words>
  <Characters>5652</Characters>
  <Application>Microsoft Office Word</Application>
  <DocSecurity>0</DocSecurity>
  <Lines>131</Lines>
  <Paragraphs>80</Paragraphs>
  <ScaleCrop>false</ScaleCrop>
  <Company/>
  <LinksUpToDate>false</LinksUpToDate>
  <CharactersWithSpaces>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Daisy Andrews</cp:lastModifiedBy>
  <cp:revision>12</cp:revision>
  <dcterms:created xsi:type="dcterms:W3CDTF">2025-01-22T14:10:00Z</dcterms:created>
  <dcterms:modified xsi:type="dcterms:W3CDTF">2026-01-23T09:37:00Z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0x01010099C88F06B61E27408D933478E194463F</vt:lpwstr>
  </property>
  <property fmtid="{D5CDD505-2E9C-101B-9397-08002B2CF9AE}" pid="3" name="MediaServiceImageTags">
    <vt:lpwstr/>
  </property>
</Properties>
</file>